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ind w:firstLine="0" w:firstLineChars="0"/>
        <w:jc w:val="center"/>
        <w:rPr>
          <w:rFonts w:ascii="华文隶书" w:hAnsi="华文隶书" w:eastAsia="华文隶书" w:cs="华文隶书"/>
          <w:color w:val="000000"/>
          <w:sz w:val="52"/>
          <w:szCs w:val="52"/>
        </w:rPr>
      </w:pPr>
      <w:r>
        <w:rPr>
          <w:rFonts w:hint="eastAsia" w:ascii="华文隶书" w:hAnsi="华文隶书" w:eastAsia="华文隶书" w:cs="华文隶书"/>
          <w:b/>
          <w:bCs/>
          <w:sz w:val="52"/>
        </w:rPr>
        <mc:AlternateContent>
          <mc:Choice Requires="wps">
            <w:drawing>
              <wp:anchor distT="0" distB="0" distL="114300" distR="114300" simplePos="0" relativeHeight="257214464" behindDoc="0" locked="0" layoutInCell="1" allowOverlap="1">
                <wp:simplePos x="0" y="0"/>
                <wp:positionH relativeFrom="column">
                  <wp:posOffset>-350520</wp:posOffset>
                </wp:positionH>
                <wp:positionV relativeFrom="paragraph">
                  <wp:posOffset>1288415</wp:posOffset>
                </wp:positionV>
                <wp:extent cx="5899150" cy="3155950"/>
                <wp:effectExtent l="12700" t="12700" r="19050" b="19050"/>
                <wp:wrapNone/>
                <wp:docPr id="51" name="矩形 51"/>
                <wp:cNvGraphicFramePr/>
                <a:graphic xmlns:a="http://schemas.openxmlformats.org/drawingml/2006/main">
                  <a:graphicData uri="http://schemas.microsoft.com/office/word/2010/wordprocessingShape">
                    <wps:wsp>
                      <wps:cNvSpPr/>
                      <wps:spPr>
                        <a:xfrm>
                          <a:off x="792480" y="3585845"/>
                          <a:ext cx="5899150" cy="315595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0" w:firstLineChars="0"/>
                              <w:jc w:val="both"/>
                            </w:pPr>
                            <w:r>
                              <w:drawing>
                                <wp:inline distT="0" distB="0" distL="0" distR="0">
                                  <wp:extent cx="5886450" cy="30391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886450" cy="303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pt;margin-top:101.45pt;height:248.5pt;width:464.5pt;z-index:257214464;v-text-anchor:middle;mso-width-relative:page;mso-height-relative:page;" fillcolor="#FFFFFF [3212]" filled="t" stroked="t" coordsize="21600,21600" o:gfxdata="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J5sZ7cAAAACwEAAA8AAAAAAAAAAQAgAAAA&#10;IgAAAGRycy9kb3ducmV2LnhtbFBLAQIUABQAAAAIAIdO4kBWzTHZeQIAAPYEAAAOAAAAAAAAAAEA&#10;IAAAACsBAABkcnMvZTJvRG9jLnhtbFBLBQYAAAAABgAGAFkBAAAWBgAAAAA=&#10;">
                <v:fill on="t" focussize="0,0"/>
                <v:stroke weight="2pt" color="#00B050 [3204]" joinstyle="round"/>
                <v:imagedata o:title=""/>
                <o:lock v:ext="edit" aspectratio="f"/>
                <v:textbox>
                  <w:txbxContent>
                    <w:p>
                      <w:pPr>
                        <w:ind w:firstLine="0" w:firstLineChars="0"/>
                        <w:jc w:val="both"/>
                      </w:pPr>
                      <w:r>
                        <w:drawing>
                          <wp:inline distT="0" distB="0" distL="0" distR="0">
                            <wp:extent cx="5886450" cy="30391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886450" cy="3039110"/>
                                    </a:xfrm>
                                    <a:prstGeom prst="rect">
                                      <a:avLst/>
                                    </a:prstGeom>
                                  </pic:spPr>
                                </pic:pic>
                              </a:graphicData>
                            </a:graphic>
                          </wp:inline>
                        </w:drawing>
                      </w:r>
                    </w:p>
                  </w:txbxContent>
                </v:textbox>
              </v:rect>
            </w:pict>
          </mc:Fallback>
        </mc:AlternateContent>
      </w:r>
      <w:r>
        <w:rPr>
          <w:rFonts w:hint="eastAsia" w:ascii="华文隶书" w:hAnsi="华文隶书" w:eastAsia="华文隶书" w:cs="华文隶书"/>
          <w:b/>
          <w:bCs/>
          <w:sz w:val="52"/>
        </w:rPr>
        <w:t>灵通横港物流园L-CNC油气合建站项目</w:t>
      </w:r>
      <w:r>
        <w:rPr>
          <w:rFonts w:hint="eastAsia" w:ascii="华文隶书" w:hAnsi="华文隶书" w:eastAsia="华文隶书" w:cs="华文隶书"/>
          <w:b/>
          <w:color w:val="000000"/>
          <w:sz w:val="52"/>
          <w:szCs w:val="52"/>
        </w:rPr>
        <w:t>竣工环境保护验收报告</w:t>
      </w: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pStyle w:val="26"/>
        <w:ind w:firstLine="560"/>
        <w:rPr>
          <w:rFonts w:ascii="仿宋_GB2312" w:eastAsia="仿宋_GB2312"/>
          <w:color w:val="000000"/>
        </w:rPr>
      </w:pPr>
    </w:p>
    <w:p>
      <w:pPr>
        <w:pStyle w:val="26"/>
        <w:ind w:firstLine="560"/>
        <w:rPr>
          <w:rFonts w:ascii="仿宋_GB2312" w:eastAsia="仿宋_GB2312"/>
          <w:color w:val="000000"/>
        </w:rPr>
      </w:pPr>
    </w:p>
    <w:p>
      <w:pPr>
        <w:pStyle w:val="26"/>
        <w:ind w:firstLine="560"/>
        <w:rPr>
          <w:rFonts w:ascii="仿宋_GB2312" w:eastAsia="仿宋_GB2312"/>
          <w:color w:val="000000"/>
        </w:rPr>
      </w:pPr>
    </w:p>
    <w:p>
      <w:pPr>
        <w:rPr>
          <w:rFonts w:ascii="仿宋_GB2312" w:eastAsia="仿宋_GB2312"/>
          <w:color w:val="000000"/>
          <w:sz w:val="28"/>
        </w:rPr>
      </w:pPr>
    </w:p>
    <w:p>
      <w:pPr>
        <w:pStyle w:val="26"/>
        <w:ind w:firstLine="0" w:firstLineChars="0"/>
        <w:rPr>
          <w:rFonts w:ascii="仿宋_GB2312" w:eastAsia="仿宋_GB2312"/>
          <w:color w:val="000000"/>
        </w:rPr>
      </w:pPr>
    </w:p>
    <w:p>
      <w:pPr>
        <w:rPr>
          <w:rFonts w:ascii="华文新魏" w:eastAsia="华文新魏"/>
          <w:color w:val="000000"/>
          <w:sz w:val="28"/>
          <w:szCs w:val="28"/>
        </w:rPr>
      </w:pPr>
      <w:r>
        <w:rPr>
          <w:rFonts w:ascii="仿宋_GB2312" w:eastAsia="仿宋_GB2312"/>
          <w:color w:val="000000"/>
          <w:sz w:val="28"/>
        </w:rPr>
        <w:tab/>
      </w:r>
    </w:p>
    <w:p>
      <w:pPr>
        <w:ind w:firstLine="641"/>
        <w:jc w:val="both"/>
        <w:rPr>
          <w:rFonts w:ascii="华文隶书" w:hAnsi="华文隶书" w:eastAsia="华文隶书" w:cs="华文隶书"/>
          <w:b/>
          <w:bCs/>
          <w:color w:val="000000"/>
          <w:sz w:val="32"/>
          <w:szCs w:val="32"/>
        </w:rPr>
      </w:pPr>
      <w:r>
        <w:rPr>
          <w:rFonts w:hint="eastAsia" w:ascii="华文隶书" w:hAnsi="华文隶书" w:eastAsia="华文隶书" w:cs="华文隶书"/>
          <w:b/>
          <w:bCs/>
          <w:color w:val="000000"/>
          <w:sz w:val="32"/>
          <w:szCs w:val="32"/>
        </w:rPr>
        <w:t xml:space="preserve">建设单位：安徽灵通清洁能源股份有限公司  </w:t>
      </w:r>
    </w:p>
    <w:p>
      <w:pPr>
        <w:ind w:firstLine="641"/>
        <w:rPr>
          <w:rFonts w:ascii="华文隶书" w:hAnsi="华文隶书" w:eastAsia="华文隶书" w:cs="华文隶书"/>
          <w:b/>
          <w:bCs/>
          <w:color w:val="000000"/>
          <w:sz w:val="32"/>
          <w:szCs w:val="32"/>
        </w:rPr>
      </w:pPr>
      <w:r>
        <w:rPr>
          <w:rFonts w:hint="eastAsia" w:ascii="华文隶书" w:hAnsi="华文隶书" w:eastAsia="华文隶书" w:cs="华文隶书"/>
          <w:b/>
          <w:bCs/>
          <w:color w:val="000000"/>
          <w:sz w:val="32"/>
          <w:szCs w:val="32"/>
        </w:rPr>
        <w:t>监测单位：安徽诚翔分析测试科技有限公司</w:t>
      </w:r>
    </w:p>
    <w:p>
      <w:pPr>
        <w:pStyle w:val="26"/>
        <w:ind w:firstLine="641"/>
        <w:rPr>
          <w:b/>
          <w:bCs/>
          <w:sz w:val="32"/>
          <w:szCs w:val="32"/>
        </w:rPr>
      </w:pPr>
      <w:r>
        <w:rPr>
          <w:rFonts w:hint="eastAsia" w:ascii="华文隶书" w:hAnsi="华文隶书" w:eastAsia="华文隶书" w:cs="华文隶书"/>
          <w:b/>
          <w:bCs/>
          <w:sz w:val="32"/>
          <w:szCs w:val="32"/>
        </w:rPr>
        <w:t>编制单位：安徽世纪鑫源环保科技有限公司</w:t>
      </w:r>
    </w:p>
    <w:p>
      <w:pPr>
        <w:rPr>
          <w:rFonts w:ascii="华文新魏" w:eastAsia="华文新魏"/>
          <w:color w:val="000000"/>
          <w:sz w:val="28"/>
          <w:szCs w:val="28"/>
        </w:rPr>
      </w:pPr>
    </w:p>
    <w:p>
      <w:pPr>
        <w:ind w:firstLine="640"/>
        <w:jc w:val="center"/>
        <w:rPr>
          <w:rFonts w:ascii="宋体" w:hAnsi="宋体" w:eastAsia="华文隶书" w:cs="宋体"/>
          <w:bCs/>
          <w:color w:val="000000"/>
          <w:sz w:val="28"/>
          <w:szCs w:val="28"/>
        </w:rPr>
      </w:pPr>
      <w:r>
        <w:rPr>
          <w:rFonts w:hint="eastAsia" w:ascii="华文隶书" w:hAnsi="华文隶书" w:eastAsia="华文隶书" w:cs="华文隶书"/>
          <w:bCs/>
          <w:color w:val="000000"/>
          <w:sz w:val="32"/>
          <w:szCs w:val="32"/>
        </w:rPr>
        <w:t>二O二一年</w:t>
      </w:r>
      <w:r>
        <w:rPr>
          <w:rFonts w:hint="eastAsia" w:ascii="华文隶书" w:hAnsi="华文隶书" w:eastAsia="华文隶书" w:cs="华文隶书"/>
          <w:bCs/>
          <w:color w:val="000000"/>
          <w:sz w:val="32"/>
          <w:szCs w:val="32"/>
          <w:lang w:val="en-US" w:eastAsia="zh-CN"/>
        </w:rPr>
        <w:t>九</w:t>
      </w:r>
      <w:r>
        <w:rPr>
          <w:rFonts w:hint="eastAsia" w:ascii="华文隶书" w:hAnsi="华文隶书" w:eastAsia="华文隶书" w:cs="华文隶书"/>
          <w:bCs/>
          <w:color w:val="000000"/>
          <w:sz w:val="32"/>
          <w:szCs w:val="32"/>
        </w:rPr>
        <w:t>月</w:t>
      </w:r>
    </w:p>
    <w:p>
      <w:pPr>
        <w:ind w:firstLine="562"/>
        <w:rPr>
          <w:rFonts w:ascii="仿宋_GB2312" w:eastAsia="仿宋_GB2312"/>
          <w:b/>
          <w:color w:val="000000"/>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20" w:num="1"/>
          <w:titlePg/>
          <w:docGrid w:linePitch="360" w:charSpace="0"/>
        </w:sectPr>
      </w:pPr>
    </w:p>
    <w:p>
      <w:pPr>
        <w:autoSpaceDE w:val="0"/>
        <w:autoSpaceDN w:val="0"/>
        <w:spacing w:line="500" w:lineRule="exact"/>
        <w:ind w:firstLine="0" w:firstLineChars="0"/>
        <w:outlineLvl w:val="0"/>
        <w:rPr>
          <w:rFonts w:ascii="宋体" w:hAnsi="宋体" w:cs="宋体"/>
          <w:sz w:val="28"/>
          <w:szCs w:val="28"/>
        </w:rPr>
      </w:pPr>
      <w:bookmarkStart w:id="0" w:name="_Toc30384"/>
      <w:bookmarkStart w:id="1" w:name="_Toc32670"/>
      <w:bookmarkStart w:id="2" w:name="_Toc6666"/>
      <w:r>
        <w:rPr>
          <w:rFonts w:hint="eastAsia" w:ascii="宋体" w:hAnsi="宋体" w:cs="宋体"/>
          <w:sz w:val="28"/>
          <w:szCs w:val="28"/>
        </w:rPr>
        <w:t>建设单位：</w:t>
      </w:r>
      <w:bookmarkEnd w:id="0"/>
      <w:bookmarkEnd w:id="1"/>
      <w:bookmarkEnd w:id="2"/>
      <w:bookmarkStart w:id="3" w:name="_Toc17653"/>
      <w:bookmarkStart w:id="4" w:name="_Toc17868"/>
      <w:bookmarkStart w:id="5" w:name="_Toc10592"/>
      <w:r>
        <w:rPr>
          <w:rFonts w:hint="eastAsia" w:ascii="宋体" w:hAnsi="宋体" w:cs="宋体"/>
          <w:sz w:val="28"/>
          <w:szCs w:val="28"/>
        </w:rPr>
        <w:t>安徽灵通清洁能源股份有限公司</w:t>
      </w:r>
    </w:p>
    <w:p>
      <w:pPr>
        <w:autoSpaceDE w:val="0"/>
        <w:autoSpaceDN w:val="0"/>
        <w:spacing w:line="500" w:lineRule="exact"/>
        <w:ind w:firstLine="0" w:firstLineChars="0"/>
        <w:outlineLvl w:val="0"/>
        <w:rPr>
          <w:rFonts w:ascii="宋体" w:hAnsi="宋体" w:cs="宋体"/>
          <w:sz w:val="28"/>
          <w:szCs w:val="28"/>
        </w:rPr>
      </w:pPr>
      <w:r>
        <w:rPr>
          <w:rFonts w:hint="eastAsia" w:ascii="宋体" w:hAnsi="宋体" w:cs="宋体"/>
          <w:sz w:val="28"/>
          <w:szCs w:val="28"/>
        </w:rPr>
        <w:t>法人代表：</w:t>
      </w:r>
      <w:bookmarkEnd w:id="3"/>
      <w:bookmarkEnd w:id="4"/>
      <w:bookmarkEnd w:id="5"/>
      <w:r>
        <w:rPr>
          <w:rFonts w:hint="eastAsia" w:ascii="宋体" w:hAnsi="宋体" w:cs="宋体"/>
          <w:sz w:val="28"/>
          <w:szCs w:val="28"/>
        </w:rPr>
        <w:t xml:space="preserve"> </w:t>
      </w:r>
    </w:p>
    <w:p>
      <w:pPr>
        <w:autoSpaceDE w:val="0"/>
        <w:autoSpaceDN w:val="0"/>
        <w:spacing w:line="500" w:lineRule="exact"/>
        <w:outlineLvl w:val="0"/>
        <w:rPr>
          <w:rFonts w:ascii="宋体" w:hAnsi="宋体" w:cs="宋体"/>
          <w:sz w:val="28"/>
          <w:szCs w:val="28"/>
        </w:rPr>
      </w:pPr>
    </w:p>
    <w:p>
      <w:pPr>
        <w:autoSpaceDE w:val="0"/>
        <w:autoSpaceDN w:val="0"/>
        <w:spacing w:line="500" w:lineRule="exact"/>
        <w:outlineLvl w:val="0"/>
        <w:rPr>
          <w:rFonts w:ascii="微软雅黑" w:hAnsi="微软雅黑" w:eastAsia="微软雅黑" w:cs="微软雅黑"/>
          <w:sz w:val="28"/>
          <w:szCs w:val="28"/>
        </w:rPr>
      </w:pPr>
    </w:p>
    <w:p>
      <w:pPr>
        <w:autoSpaceDE w:val="0"/>
        <w:autoSpaceDN w:val="0"/>
        <w:spacing w:line="500" w:lineRule="exact"/>
        <w:ind w:firstLine="0" w:firstLineChars="0"/>
        <w:outlineLvl w:val="0"/>
        <w:rPr>
          <w:rFonts w:ascii="宋体" w:hAnsi="宋体" w:cs="宋体"/>
          <w:sz w:val="28"/>
          <w:szCs w:val="28"/>
        </w:rPr>
      </w:pPr>
      <w:bookmarkStart w:id="6" w:name="_Toc25020"/>
      <w:bookmarkStart w:id="7" w:name="_Toc15874"/>
      <w:bookmarkStart w:id="8" w:name="_Toc1886"/>
      <w:r>
        <w:rPr>
          <w:rFonts w:hint="eastAsia" w:ascii="宋体" w:hAnsi="宋体" w:cs="宋体"/>
          <w:sz w:val="28"/>
          <w:szCs w:val="28"/>
        </w:rPr>
        <w:t>监测单位：</w:t>
      </w:r>
      <w:bookmarkEnd w:id="6"/>
      <w:bookmarkEnd w:id="7"/>
      <w:bookmarkEnd w:id="8"/>
      <w:r>
        <w:rPr>
          <w:rFonts w:hint="eastAsia" w:ascii="宋体" w:hAnsi="宋体" w:cs="宋体"/>
          <w:sz w:val="28"/>
          <w:szCs w:val="28"/>
        </w:rPr>
        <w:t>安徽诚翔分析测试科技有限公司</w:t>
      </w:r>
    </w:p>
    <w:p>
      <w:pPr>
        <w:autoSpaceDE w:val="0"/>
        <w:autoSpaceDN w:val="0"/>
        <w:spacing w:line="500" w:lineRule="exact"/>
        <w:ind w:firstLine="0" w:firstLineChars="0"/>
        <w:outlineLvl w:val="0"/>
        <w:rPr>
          <w:rFonts w:ascii="宋体" w:hAnsi="宋体" w:cs="宋体"/>
          <w:sz w:val="28"/>
          <w:szCs w:val="28"/>
        </w:rPr>
      </w:pPr>
      <w:bookmarkStart w:id="9" w:name="_Toc3013"/>
      <w:bookmarkStart w:id="10" w:name="_Toc14997"/>
      <w:bookmarkStart w:id="11" w:name="_Toc9990"/>
      <w:r>
        <w:rPr>
          <w:rFonts w:hint="eastAsia" w:ascii="宋体" w:hAnsi="宋体" w:cs="宋体"/>
          <w:sz w:val="28"/>
          <w:szCs w:val="28"/>
        </w:rPr>
        <w:t>法人代表：</w:t>
      </w:r>
      <w:bookmarkEnd w:id="9"/>
      <w:bookmarkEnd w:id="10"/>
      <w:bookmarkEnd w:id="11"/>
      <w:r>
        <w:rPr>
          <w:rFonts w:hint="eastAsia" w:ascii="宋体" w:hAnsi="宋体" w:cs="宋体"/>
          <w:sz w:val="28"/>
          <w:szCs w:val="28"/>
        </w:rPr>
        <w:t xml:space="preserve"> </w:t>
      </w:r>
    </w:p>
    <w:p>
      <w:pPr>
        <w:pStyle w:val="14"/>
        <w:rPr>
          <w:rFonts w:hAnsi="宋体"/>
          <w:sz w:val="28"/>
          <w:szCs w:val="28"/>
        </w:rPr>
      </w:pPr>
      <w:r>
        <w:rPr>
          <w:rFonts w:hint="eastAsia" w:hAnsi="宋体"/>
          <w:sz w:val="28"/>
          <w:szCs w:val="28"/>
        </w:rPr>
        <w:t>项目负责人：</w:t>
      </w:r>
    </w:p>
    <w:p>
      <w:pPr>
        <w:autoSpaceDE w:val="0"/>
        <w:autoSpaceDN w:val="0"/>
        <w:spacing w:line="500" w:lineRule="exact"/>
        <w:outlineLvl w:val="0"/>
        <w:rPr>
          <w:rFonts w:ascii="微软雅黑" w:hAnsi="微软雅黑" w:eastAsia="微软雅黑" w:cs="微软雅黑"/>
          <w:sz w:val="28"/>
          <w:szCs w:val="28"/>
        </w:rPr>
      </w:pPr>
    </w:p>
    <w:p>
      <w:pPr>
        <w:autoSpaceDE w:val="0"/>
        <w:autoSpaceDN w:val="0"/>
        <w:spacing w:line="500" w:lineRule="exact"/>
        <w:outlineLvl w:val="0"/>
        <w:rPr>
          <w:rFonts w:ascii="微软雅黑" w:hAnsi="微软雅黑" w:eastAsia="微软雅黑" w:cs="微软雅黑"/>
          <w:sz w:val="28"/>
          <w:szCs w:val="28"/>
        </w:rPr>
      </w:pPr>
    </w:p>
    <w:p>
      <w:pPr>
        <w:autoSpaceDE w:val="0"/>
        <w:autoSpaceDN w:val="0"/>
        <w:spacing w:line="500" w:lineRule="exact"/>
        <w:ind w:firstLine="0" w:firstLineChars="0"/>
        <w:outlineLvl w:val="0"/>
        <w:rPr>
          <w:rFonts w:ascii="宋体" w:hAnsi="宋体" w:cs="宋体"/>
          <w:sz w:val="28"/>
          <w:szCs w:val="28"/>
        </w:rPr>
      </w:pPr>
      <w:bookmarkStart w:id="12" w:name="_Toc13327"/>
      <w:bookmarkStart w:id="13" w:name="_Toc30460"/>
      <w:bookmarkStart w:id="14" w:name="_Toc17605"/>
      <w:r>
        <w:rPr>
          <w:rFonts w:hint="eastAsia" w:ascii="宋体" w:hAnsi="宋体" w:cs="宋体"/>
          <w:sz w:val="28"/>
          <w:szCs w:val="28"/>
        </w:rPr>
        <w:t>编制单位：安徽世纪鑫源环保科技有限公司</w:t>
      </w:r>
      <w:bookmarkEnd w:id="12"/>
      <w:bookmarkEnd w:id="13"/>
      <w:bookmarkEnd w:id="14"/>
    </w:p>
    <w:p>
      <w:pPr>
        <w:autoSpaceDE w:val="0"/>
        <w:autoSpaceDN w:val="0"/>
        <w:spacing w:line="500" w:lineRule="exact"/>
        <w:ind w:firstLine="0" w:firstLineChars="0"/>
        <w:outlineLvl w:val="0"/>
        <w:rPr>
          <w:rFonts w:ascii="宋体" w:hAnsi="宋体" w:cs="宋体"/>
          <w:sz w:val="28"/>
          <w:szCs w:val="28"/>
        </w:rPr>
      </w:pPr>
      <w:bookmarkStart w:id="15" w:name="_Toc7680"/>
      <w:bookmarkStart w:id="16" w:name="_Toc32379"/>
      <w:bookmarkStart w:id="17" w:name="_Toc6129"/>
      <w:r>
        <w:rPr>
          <w:rFonts w:hint="eastAsia" w:ascii="宋体" w:hAnsi="宋体" w:cs="宋体"/>
          <w:sz w:val="28"/>
          <w:szCs w:val="28"/>
        </w:rPr>
        <w:t>法人代表：</w:t>
      </w:r>
      <w:bookmarkEnd w:id="15"/>
      <w:bookmarkEnd w:id="16"/>
      <w:bookmarkEnd w:id="17"/>
      <w:r>
        <w:rPr>
          <w:rFonts w:hint="eastAsia" w:ascii="宋体" w:hAnsi="宋体" w:cs="宋体"/>
          <w:sz w:val="28"/>
          <w:szCs w:val="28"/>
        </w:rPr>
        <w:t xml:space="preserve"> </w:t>
      </w:r>
    </w:p>
    <w:p>
      <w:pPr>
        <w:pStyle w:val="14"/>
        <w:rPr>
          <w:rFonts w:hAnsi="宋体"/>
          <w:sz w:val="28"/>
          <w:szCs w:val="28"/>
        </w:rPr>
      </w:pPr>
      <w:r>
        <w:rPr>
          <w:rFonts w:hint="eastAsia" w:hAnsi="宋体"/>
          <w:sz w:val="28"/>
          <w:szCs w:val="28"/>
        </w:rPr>
        <w:t>项目负责人：</w:t>
      </w:r>
    </w:p>
    <w:p>
      <w:pPr>
        <w:pStyle w:val="14"/>
        <w:rPr>
          <w:rFonts w:ascii="微软雅黑" w:hAnsi="微软雅黑" w:eastAsia="微软雅黑" w:cs="微软雅黑"/>
          <w:sz w:val="28"/>
          <w:szCs w:val="28"/>
        </w:rPr>
      </w:pPr>
    </w:p>
    <w:p>
      <w:pPr>
        <w:pStyle w:val="14"/>
        <w:rPr>
          <w:rFonts w:ascii="微软雅黑" w:hAnsi="微软雅黑" w:eastAsia="微软雅黑" w:cs="微软雅黑"/>
          <w:sz w:val="21"/>
          <w:szCs w:val="21"/>
        </w:rPr>
      </w:pPr>
    </w:p>
    <w:p>
      <w:pPr>
        <w:pStyle w:val="14"/>
        <w:rPr>
          <w:rFonts w:ascii="微软雅黑" w:hAnsi="微软雅黑" w:eastAsia="微软雅黑" w:cs="微软雅黑"/>
          <w:sz w:val="21"/>
          <w:szCs w:val="21"/>
        </w:rPr>
      </w:pPr>
    </w:p>
    <w:p>
      <w:pPr>
        <w:pStyle w:val="14"/>
        <w:rPr>
          <w:rFonts w:ascii="微软雅黑" w:hAnsi="微软雅黑" w:eastAsia="微软雅黑" w:cs="微软雅黑"/>
          <w:sz w:val="21"/>
          <w:szCs w:val="21"/>
        </w:rPr>
      </w:pPr>
    </w:p>
    <w:p>
      <w:pPr>
        <w:pStyle w:val="14"/>
        <w:rPr>
          <w:rFonts w:ascii="微软雅黑" w:hAnsi="微软雅黑" w:eastAsia="微软雅黑" w:cs="微软雅黑"/>
          <w:sz w:val="21"/>
          <w:szCs w:val="21"/>
        </w:rPr>
      </w:pPr>
    </w:p>
    <w:p>
      <w:pPr>
        <w:ind w:firstLine="480"/>
      </w:pPr>
    </w:p>
    <w:p>
      <w:pPr>
        <w:pStyle w:val="6"/>
        <w:ind w:firstLine="562"/>
      </w:pPr>
    </w:p>
    <w:p>
      <w:pPr>
        <w:ind w:firstLine="480"/>
      </w:pPr>
    </w:p>
    <w:p>
      <w:pPr>
        <w:pStyle w:val="6"/>
        <w:ind w:firstLine="562"/>
      </w:pPr>
    </w:p>
    <w:p>
      <w:pPr>
        <w:ind w:firstLine="480"/>
      </w:pPr>
    </w:p>
    <w:tbl>
      <w:tblPr>
        <w:tblStyle w:val="23"/>
        <w:tblpPr w:leftFromText="180" w:rightFromText="180" w:vertAnchor="text" w:horzAnchor="page" w:tblpXSpec="center" w:tblpY="33"/>
        <w:tblOverlap w:val="never"/>
        <w:tblW w:w="107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80"/>
        <w:gridCol w:w="3580"/>
        <w:gridCol w:w="3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exact"/>
          <w:jc w:val="center"/>
        </w:trPr>
        <w:tc>
          <w:tcPr>
            <w:tcW w:w="3580" w:type="dxa"/>
            <w:tcBorders>
              <w:tl2br w:val="nil"/>
              <w:tr2bl w:val="nil"/>
            </w:tcBorders>
            <w:vAlign w:val="center"/>
          </w:tcPr>
          <w:p>
            <w:pPr>
              <w:widowControl w:val="0"/>
              <w:spacing w:line="320" w:lineRule="exact"/>
              <w:ind w:firstLine="0" w:firstLineChars="0"/>
              <w:jc w:val="both"/>
              <w:rPr>
                <w:rFonts w:ascii="仿宋" w:hAnsi="仿宋" w:eastAsia="仿宋" w:cs="仿宋"/>
                <w:sz w:val="18"/>
                <w:szCs w:val="18"/>
              </w:rPr>
            </w:pPr>
            <w:r>
              <w:rPr>
                <w:rFonts w:hint="eastAsia" w:ascii="仿宋" w:hAnsi="仿宋" w:eastAsia="仿宋" w:cs="仿宋"/>
                <w:sz w:val="18"/>
                <w:szCs w:val="18"/>
              </w:rPr>
              <w:t>建设单位：安徽灵通清洁能源股份有限公司</w:t>
            </w:r>
          </w:p>
        </w:tc>
        <w:tc>
          <w:tcPr>
            <w:tcW w:w="3580" w:type="dxa"/>
            <w:tcBorders>
              <w:tl2br w:val="nil"/>
              <w:tr2bl w:val="nil"/>
            </w:tcBorders>
            <w:vAlign w:val="center"/>
          </w:tcPr>
          <w:p>
            <w:pPr>
              <w:widowControl w:val="0"/>
              <w:spacing w:line="320" w:lineRule="exact"/>
              <w:ind w:firstLine="0" w:firstLineChars="0"/>
              <w:jc w:val="both"/>
              <w:rPr>
                <w:rFonts w:ascii="仿宋" w:hAnsi="仿宋" w:eastAsia="仿宋" w:cs="仿宋"/>
                <w:sz w:val="18"/>
                <w:szCs w:val="18"/>
              </w:rPr>
            </w:pPr>
            <w:r>
              <w:rPr>
                <w:rFonts w:hint="eastAsia" w:ascii="仿宋" w:hAnsi="仿宋" w:eastAsia="仿宋" w:cs="仿宋"/>
                <w:sz w:val="18"/>
                <w:szCs w:val="18"/>
              </w:rPr>
              <w:t xml:space="preserve">监测单位：安徽诚翔分析测试科技有限公司 </w:t>
            </w:r>
          </w:p>
        </w:tc>
        <w:tc>
          <w:tcPr>
            <w:tcW w:w="3580" w:type="dxa"/>
            <w:tcBorders>
              <w:tl2br w:val="nil"/>
              <w:tr2bl w:val="nil"/>
            </w:tcBorders>
            <w:vAlign w:val="center"/>
          </w:tcPr>
          <w:p>
            <w:pPr>
              <w:widowControl w:val="0"/>
              <w:spacing w:line="320" w:lineRule="exact"/>
              <w:ind w:firstLine="0" w:firstLineChars="0"/>
              <w:jc w:val="both"/>
              <w:rPr>
                <w:rFonts w:ascii="仿宋" w:hAnsi="仿宋" w:eastAsia="仿宋" w:cs="仿宋"/>
                <w:sz w:val="18"/>
                <w:szCs w:val="18"/>
              </w:rPr>
            </w:pPr>
            <w:r>
              <w:rPr>
                <w:rFonts w:hint="eastAsia" w:ascii="仿宋" w:hAnsi="仿宋" w:eastAsia="仿宋" w:cs="仿宋"/>
                <w:sz w:val="18"/>
                <w:szCs w:val="18"/>
              </w:rPr>
              <w:t>编制单位：安徽世纪鑫源环保科技有限公司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exact"/>
          <w:jc w:val="center"/>
        </w:trPr>
        <w:tc>
          <w:tcPr>
            <w:tcW w:w="3580" w:type="dxa"/>
            <w:tcBorders>
              <w:tl2br w:val="nil"/>
              <w:tr2bl w:val="nil"/>
            </w:tcBorders>
            <w:vAlign w:val="center"/>
          </w:tcPr>
          <w:p>
            <w:pPr>
              <w:widowControl w:val="0"/>
              <w:spacing w:line="320" w:lineRule="exact"/>
              <w:ind w:firstLine="360"/>
              <w:jc w:val="both"/>
              <w:rPr>
                <w:rFonts w:ascii="仿宋" w:hAnsi="仿宋" w:eastAsia="仿宋" w:cs="仿宋"/>
                <w:sz w:val="18"/>
                <w:szCs w:val="18"/>
              </w:rPr>
            </w:pPr>
            <w:r>
              <w:rPr>
                <w:rFonts w:eastAsia="仿宋"/>
                <w:sz w:val="18"/>
                <w:szCs w:val="18"/>
              </w:rPr>
              <w:t>电话：</w:t>
            </w:r>
            <w:r>
              <w:rPr>
                <w:rFonts w:hint="eastAsia" w:eastAsia="仿宋"/>
                <w:sz w:val="18"/>
                <w:szCs w:val="18"/>
              </w:rPr>
              <w:t>18956244535</w:t>
            </w:r>
          </w:p>
        </w:tc>
        <w:tc>
          <w:tcPr>
            <w:tcW w:w="3580" w:type="dxa"/>
            <w:tcBorders>
              <w:tl2br w:val="nil"/>
              <w:tr2bl w:val="nil"/>
            </w:tcBorders>
            <w:vAlign w:val="center"/>
          </w:tcPr>
          <w:p>
            <w:pPr>
              <w:widowControl w:val="0"/>
              <w:spacing w:line="320" w:lineRule="exact"/>
              <w:ind w:firstLine="360"/>
              <w:jc w:val="both"/>
              <w:rPr>
                <w:rFonts w:ascii="仿宋" w:hAnsi="仿宋" w:eastAsia="仿宋" w:cs="仿宋"/>
                <w:sz w:val="18"/>
                <w:szCs w:val="18"/>
              </w:rPr>
            </w:pPr>
            <w:r>
              <w:rPr>
                <w:rFonts w:hint="eastAsia" w:ascii="仿宋" w:hAnsi="仿宋" w:eastAsia="仿宋" w:cs="仿宋"/>
                <w:sz w:val="18"/>
                <w:szCs w:val="18"/>
              </w:rPr>
              <w:t>电话：0551-65570660</w:t>
            </w:r>
          </w:p>
        </w:tc>
        <w:tc>
          <w:tcPr>
            <w:tcW w:w="3580" w:type="dxa"/>
            <w:tcBorders>
              <w:tl2br w:val="nil"/>
              <w:tr2bl w:val="nil"/>
            </w:tcBorders>
            <w:vAlign w:val="center"/>
          </w:tcPr>
          <w:p>
            <w:pPr>
              <w:widowControl w:val="0"/>
              <w:spacing w:line="320" w:lineRule="exact"/>
              <w:ind w:firstLine="360"/>
              <w:jc w:val="both"/>
              <w:rPr>
                <w:rFonts w:ascii="仿宋" w:hAnsi="仿宋" w:eastAsia="仿宋" w:cs="仿宋"/>
                <w:sz w:val="18"/>
                <w:szCs w:val="18"/>
              </w:rPr>
            </w:pPr>
            <w:r>
              <w:rPr>
                <w:rFonts w:hint="eastAsia" w:ascii="仿宋" w:hAnsi="仿宋" w:eastAsia="仿宋" w:cs="仿宋"/>
                <w:sz w:val="18"/>
                <w:szCs w:val="18"/>
              </w:rPr>
              <w:t>电话：0562-2290388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exact"/>
          <w:jc w:val="center"/>
        </w:trPr>
        <w:tc>
          <w:tcPr>
            <w:tcW w:w="3580" w:type="dxa"/>
            <w:tcBorders>
              <w:tl2br w:val="nil"/>
              <w:tr2bl w:val="nil"/>
            </w:tcBorders>
            <w:vAlign w:val="center"/>
          </w:tcPr>
          <w:p>
            <w:pPr>
              <w:pStyle w:val="2"/>
              <w:widowControl w:val="0"/>
              <w:spacing w:line="320" w:lineRule="exact"/>
              <w:ind w:firstLine="360"/>
              <w:jc w:val="both"/>
              <w:rPr>
                <w:rFonts w:ascii="仿宋" w:hAnsi="仿宋" w:eastAsia="仿宋" w:cs="仿宋"/>
                <w:sz w:val="18"/>
                <w:szCs w:val="18"/>
                <w:lang w:val="en-US"/>
              </w:rPr>
            </w:pPr>
            <w:r>
              <w:rPr>
                <w:rFonts w:hint="eastAsia" w:ascii="仿宋" w:hAnsi="仿宋" w:eastAsia="仿宋" w:cs="仿宋"/>
                <w:sz w:val="18"/>
                <w:szCs w:val="18"/>
              </w:rPr>
              <w:t>邮编</w:t>
            </w:r>
            <w:r>
              <w:rPr>
                <w:rFonts w:eastAsia="仿宋"/>
                <w:sz w:val="18"/>
                <w:szCs w:val="18"/>
              </w:rPr>
              <w:t>：2</w:t>
            </w:r>
            <w:r>
              <w:rPr>
                <w:rFonts w:hint="eastAsia" w:eastAsia="仿宋"/>
                <w:sz w:val="18"/>
                <w:szCs w:val="18"/>
                <w:lang w:val="en-US"/>
              </w:rPr>
              <w:t>44000</w:t>
            </w:r>
          </w:p>
        </w:tc>
        <w:tc>
          <w:tcPr>
            <w:tcW w:w="3580" w:type="dxa"/>
            <w:tcBorders>
              <w:tl2br w:val="nil"/>
              <w:tr2bl w:val="nil"/>
            </w:tcBorders>
            <w:vAlign w:val="center"/>
          </w:tcPr>
          <w:p>
            <w:pPr>
              <w:pStyle w:val="2"/>
              <w:widowControl w:val="0"/>
              <w:spacing w:line="320" w:lineRule="exact"/>
              <w:ind w:firstLine="360"/>
              <w:jc w:val="both"/>
              <w:rPr>
                <w:rFonts w:ascii="仿宋" w:hAnsi="仿宋" w:eastAsia="仿宋" w:cs="仿宋"/>
                <w:sz w:val="18"/>
                <w:szCs w:val="18"/>
              </w:rPr>
            </w:pPr>
            <w:r>
              <w:rPr>
                <w:rFonts w:hint="eastAsia" w:ascii="仿宋" w:hAnsi="仿宋" w:eastAsia="仿宋" w:cs="仿宋"/>
                <w:sz w:val="18"/>
                <w:szCs w:val="18"/>
              </w:rPr>
              <w:t>邮编：230088</w:t>
            </w:r>
          </w:p>
        </w:tc>
        <w:tc>
          <w:tcPr>
            <w:tcW w:w="3580" w:type="dxa"/>
            <w:tcBorders>
              <w:tl2br w:val="nil"/>
              <w:tr2bl w:val="nil"/>
            </w:tcBorders>
            <w:vAlign w:val="center"/>
          </w:tcPr>
          <w:p>
            <w:pPr>
              <w:pStyle w:val="2"/>
              <w:widowControl w:val="0"/>
              <w:spacing w:line="320" w:lineRule="exact"/>
              <w:ind w:firstLine="360"/>
              <w:jc w:val="both"/>
              <w:rPr>
                <w:rFonts w:ascii="仿宋" w:hAnsi="仿宋" w:eastAsia="仿宋" w:cs="仿宋"/>
                <w:sz w:val="18"/>
                <w:szCs w:val="18"/>
              </w:rPr>
            </w:pPr>
            <w:r>
              <w:rPr>
                <w:rFonts w:hint="eastAsia" w:ascii="仿宋" w:hAnsi="仿宋" w:eastAsia="仿宋" w:cs="仿宋"/>
                <w:sz w:val="18"/>
                <w:szCs w:val="18"/>
              </w:rPr>
              <w:t>邮编：244000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exact"/>
          <w:jc w:val="center"/>
        </w:trPr>
        <w:tc>
          <w:tcPr>
            <w:tcW w:w="3580" w:type="dxa"/>
            <w:tcBorders>
              <w:tl2br w:val="nil"/>
              <w:tr2bl w:val="nil"/>
            </w:tcBorders>
            <w:vAlign w:val="center"/>
          </w:tcPr>
          <w:p>
            <w:pPr>
              <w:pStyle w:val="2"/>
              <w:widowControl w:val="0"/>
              <w:spacing w:line="320" w:lineRule="exact"/>
              <w:ind w:firstLine="0" w:firstLineChars="0"/>
              <w:jc w:val="both"/>
              <w:rPr>
                <w:rFonts w:ascii="仿宋" w:hAnsi="仿宋" w:eastAsia="仿宋" w:cs="仿宋"/>
                <w:sz w:val="18"/>
                <w:szCs w:val="18"/>
                <w:lang w:val="en-US"/>
              </w:rPr>
            </w:pPr>
            <w:r>
              <w:rPr>
                <w:rFonts w:hint="eastAsia" w:ascii="仿宋" w:hAnsi="仿宋" w:eastAsia="仿宋" w:cs="仿宋"/>
                <w:sz w:val="18"/>
                <w:szCs w:val="18"/>
              </w:rPr>
              <w:t>地址：</w:t>
            </w:r>
            <w:r>
              <w:rPr>
                <w:rFonts w:hint="eastAsia" w:ascii="仿宋" w:hAnsi="仿宋" w:eastAsia="仿宋" w:cs="仿宋"/>
                <w:sz w:val="18"/>
                <w:szCs w:val="18"/>
                <w:lang w:val="en-US"/>
              </w:rPr>
              <w:t>安徽省铜陵市北斗星城C2座19楼</w:t>
            </w:r>
          </w:p>
        </w:tc>
        <w:tc>
          <w:tcPr>
            <w:tcW w:w="3580" w:type="dxa"/>
            <w:tcBorders>
              <w:tl2br w:val="nil"/>
              <w:tr2bl w:val="nil"/>
            </w:tcBorders>
            <w:vAlign w:val="center"/>
          </w:tcPr>
          <w:p>
            <w:pPr>
              <w:pStyle w:val="2"/>
              <w:widowControl w:val="0"/>
              <w:spacing w:line="320" w:lineRule="exact"/>
              <w:ind w:firstLine="0" w:firstLineChars="0"/>
              <w:jc w:val="both"/>
              <w:rPr>
                <w:rFonts w:ascii="仿宋" w:hAnsi="仿宋" w:eastAsia="仿宋" w:cs="仿宋"/>
                <w:sz w:val="18"/>
                <w:szCs w:val="18"/>
              </w:rPr>
            </w:pPr>
            <w:r>
              <w:rPr>
                <w:rFonts w:hint="eastAsia" w:ascii="仿宋" w:hAnsi="仿宋" w:eastAsia="仿宋" w:cs="仿宋"/>
                <w:sz w:val="18"/>
                <w:szCs w:val="18"/>
              </w:rPr>
              <w:t>地址：安徽省合肥市高新区习友路 1688#3 号楼 5 层</w:t>
            </w:r>
          </w:p>
        </w:tc>
        <w:tc>
          <w:tcPr>
            <w:tcW w:w="3580" w:type="dxa"/>
            <w:tcBorders>
              <w:tl2br w:val="nil"/>
              <w:tr2bl w:val="nil"/>
            </w:tcBorders>
            <w:vAlign w:val="center"/>
          </w:tcPr>
          <w:p>
            <w:pPr>
              <w:pStyle w:val="2"/>
              <w:widowControl w:val="0"/>
              <w:spacing w:line="320" w:lineRule="exact"/>
              <w:ind w:firstLine="0" w:firstLineChars="0"/>
              <w:jc w:val="both"/>
              <w:rPr>
                <w:rFonts w:ascii="仿宋" w:hAnsi="仿宋" w:eastAsia="仿宋" w:cs="仿宋"/>
                <w:sz w:val="18"/>
                <w:szCs w:val="18"/>
              </w:rPr>
            </w:pPr>
            <w:r>
              <w:rPr>
                <w:rFonts w:hint="eastAsia" w:ascii="仿宋" w:hAnsi="仿宋" w:eastAsia="仿宋" w:cs="仿宋"/>
                <w:sz w:val="18"/>
                <w:szCs w:val="18"/>
              </w:rPr>
              <w:t>地址：安徽省铜陵市高新技术创业服务中心B206、207</w:t>
            </w:r>
          </w:p>
        </w:tc>
      </w:tr>
    </w:tbl>
    <w:p>
      <w:pPr>
        <w:ind w:firstLine="562"/>
        <w:rPr>
          <w:rFonts w:ascii="仿宋_GB2312" w:eastAsia="仿宋_GB2312"/>
          <w:color w:val="000000"/>
          <w:sz w:val="32"/>
        </w:rPr>
      </w:pPr>
      <w:r>
        <w:rPr>
          <w:rFonts w:ascii="仿宋_GB2312" w:eastAsia="仿宋_GB2312"/>
          <w:b/>
          <w:color w:val="000000"/>
          <w:sz w:val="28"/>
        </w:rPr>
        <w:tab/>
      </w:r>
    </w:p>
    <w:p>
      <w:pPr>
        <w:ind w:firstLine="0" w:firstLineChars="0"/>
      </w:pPr>
      <w:r>
        <w:drawing>
          <wp:inline distT="0" distB="0" distL="0" distR="0">
            <wp:extent cx="5695315" cy="8559800"/>
            <wp:effectExtent l="0" t="0" r="635" b="0"/>
            <wp:docPr id="17" name="图片 17" descr="F:\02020627：石台县污水处理系统营运评估\0190618：石台县污水处理运行评估\检测单位资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02020627：石台县污水处理系统营运评估\0190618：石台县污水处理运行评估\检测单位资质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04808" cy="8573291"/>
                    </a:xfrm>
                    <a:prstGeom prst="rect">
                      <a:avLst/>
                    </a:prstGeom>
                    <a:noFill/>
                    <a:ln>
                      <a:noFill/>
                    </a:ln>
                  </pic:spPr>
                </pic:pic>
              </a:graphicData>
            </a:graphic>
          </wp:inline>
        </w:drawing>
      </w:r>
    </w:p>
    <w:p>
      <w:pPr>
        <w:ind w:firstLine="0" w:firstLineChars="0"/>
      </w:pPr>
    </w:p>
    <w:p>
      <w:pPr>
        <w:pStyle w:val="6"/>
        <w:ind w:firstLine="562"/>
      </w:pPr>
    </w:p>
    <w:p>
      <w:pPr>
        <w:ind w:firstLine="480"/>
        <w:sectPr>
          <w:footerReference r:id="rId9" w:type="default"/>
          <w:pgSz w:w="11906" w:h="16838"/>
          <w:pgMar w:top="1440" w:right="1800" w:bottom="1440" w:left="1800" w:header="708" w:footer="708" w:gutter="0"/>
          <w:pgNumType w:fmt="upperRoman" w:start="2"/>
          <w:cols w:space="720" w:num="1"/>
          <w:docGrid w:linePitch="360" w:charSpace="0"/>
        </w:sectPr>
      </w:pPr>
      <w:r>
        <w:drawing>
          <wp:inline distT="0" distB="0" distL="0" distR="0">
            <wp:extent cx="5867400" cy="8267700"/>
            <wp:effectExtent l="0" t="0" r="0" b="0"/>
            <wp:docPr id="18" name="图片 18" descr="F:\02020627：石台县污水处理系统营运评估\0190618：石台县污水处理运行评估\监测单位资质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02020627：石台县污水处理系统营运评估\0190618：石台县污水处理运行评估\监测单位资质证书.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67400" cy="8267700"/>
                    </a:xfrm>
                    <a:prstGeom prst="rect">
                      <a:avLst/>
                    </a:prstGeom>
                    <a:noFill/>
                    <a:ln>
                      <a:noFill/>
                    </a:ln>
                  </pic:spPr>
                </pic:pic>
              </a:graphicData>
            </a:graphic>
          </wp:inline>
        </w:drawing>
      </w:r>
    </w:p>
    <w:p>
      <w:pPr>
        <w:ind w:firstLine="0" w:firstLineChars="0"/>
        <w:rPr>
          <w:rFonts w:hAnsi="Arial" w:eastAsia="仿宋_GB2312"/>
          <w:b/>
          <w:color w:val="000000"/>
          <w:sz w:val="21"/>
          <w:szCs w:val="21"/>
        </w:rPr>
      </w:pPr>
    </w:p>
    <w:p>
      <w:pPr>
        <w:ind w:firstLine="422"/>
        <w:rPr>
          <w:rFonts w:eastAsia="仿宋_GB2312"/>
          <w:b/>
          <w:color w:val="000000"/>
          <w:sz w:val="21"/>
          <w:szCs w:val="21"/>
        </w:rPr>
      </w:pPr>
      <w:r>
        <w:rPr>
          <w:rFonts w:hAnsi="Arial" w:eastAsia="仿宋_GB2312"/>
          <w:b/>
          <w:color w:val="000000"/>
          <w:sz w:val="21"/>
          <w:szCs w:val="21"/>
        </w:rPr>
        <w:t>表一</w:t>
      </w:r>
    </w:p>
    <w:tbl>
      <w:tblPr>
        <w:tblStyle w:val="22"/>
        <w:tblW w:w="100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312"/>
        <w:gridCol w:w="2155"/>
        <w:gridCol w:w="970"/>
        <w:gridCol w:w="765"/>
        <w:gridCol w:w="16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建设项目名称</w:t>
            </w:r>
          </w:p>
        </w:tc>
        <w:tc>
          <w:tcPr>
            <w:tcW w:w="7845" w:type="dxa"/>
            <w:gridSpan w:val="5"/>
            <w:vAlign w:val="center"/>
          </w:tcPr>
          <w:p>
            <w:pPr>
              <w:spacing w:line="240" w:lineRule="auto"/>
              <w:ind w:firstLine="0" w:firstLineChars="0"/>
              <w:jc w:val="center"/>
              <w:rPr>
                <w:color w:val="000000"/>
              </w:rPr>
            </w:pPr>
            <w:r>
              <w:rPr>
                <w:rFonts w:hint="eastAsia"/>
                <w:color w:val="000000"/>
                <w:szCs w:val="28"/>
              </w:rPr>
              <w:t>灵通横港物流园L-CNC油气合建站项目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建设单位名称</w:t>
            </w:r>
          </w:p>
        </w:tc>
        <w:tc>
          <w:tcPr>
            <w:tcW w:w="7845" w:type="dxa"/>
            <w:gridSpan w:val="5"/>
            <w:vAlign w:val="center"/>
          </w:tcPr>
          <w:p>
            <w:pPr>
              <w:spacing w:line="240" w:lineRule="auto"/>
              <w:ind w:firstLine="0" w:firstLineChars="0"/>
              <w:jc w:val="center"/>
              <w:rPr>
                <w:color w:val="000000"/>
              </w:rPr>
            </w:pPr>
            <w:r>
              <w:rPr>
                <w:rFonts w:hint="eastAsia"/>
                <w:color w:val="000000"/>
              </w:rPr>
              <w:t xml:space="preserve">安徽灵通清洁能源股份有限公司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建设项目性质</w:t>
            </w:r>
          </w:p>
        </w:tc>
        <w:tc>
          <w:tcPr>
            <w:tcW w:w="7845" w:type="dxa"/>
            <w:gridSpan w:val="5"/>
            <w:vAlign w:val="center"/>
          </w:tcPr>
          <w:p>
            <w:pPr>
              <w:spacing w:line="240" w:lineRule="auto"/>
              <w:ind w:firstLine="0" w:firstLineChars="0"/>
              <w:jc w:val="center"/>
              <w:rPr>
                <w:color w:val="000000"/>
              </w:rPr>
            </w:pPr>
            <w:r>
              <w:rPr>
                <w:color w:val="000000"/>
              </w:rPr>
              <w:t>√新建  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建设地点</w:t>
            </w:r>
          </w:p>
        </w:tc>
        <w:tc>
          <w:tcPr>
            <w:tcW w:w="7845" w:type="dxa"/>
            <w:gridSpan w:val="5"/>
            <w:vAlign w:val="center"/>
          </w:tcPr>
          <w:p>
            <w:pPr>
              <w:spacing w:line="240" w:lineRule="auto"/>
              <w:ind w:firstLine="0" w:firstLineChars="0"/>
              <w:jc w:val="center"/>
              <w:rPr>
                <w:color w:val="000000"/>
              </w:rPr>
            </w:pPr>
            <w:r>
              <w:rPr>
                <w:rFonts w:hint="eastAsia"/>
              </w:rPr>
              <w:t>铜陵市郊区长江村铜官大道东侧、横港物流园北侧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主要产品名称</w:t>
            </w:r>
          </w:p>
        </w:tc>
        <w:tc>
          <w:tcPr>
            <w:tcW w:w="7845" w:type="dxa"/>
            <w:gridSpan w:val="5"/>
            <w:vAlign w:val="center"/>
          </w:tcPr>
          <w:p>
            <w:pPr>
              <w:spacing w:line="240" w:lineRule="auto"/>
              <w:ind w:firstLine="0" w:firstLineChars="0"/>
              <w:jc w:val="center"/>
              <w:rPr>
                <w:color w:val="000000"/>
              </w:rPr>
            </w:pPr>
            <w:r>
              <w:rPr>
                <w:rFonts w:hint="eastAsia"/>
                <w:bCs/>
                <w:szCs w:val="21"/>
              </w:rPr>
              <w:t>汽油、柴油、LNG以及C</w:t>
            </w:r>
            <w:r>
              <w:rPr>
                <w:bCs/>
                <w:szCs w:val="21"/>
              </w:rPr>
              <w:t>NC</w:t>
            </w:r>
            <w:r>
              <w:rPr>
                <w:rFonts w:hint="eastAsia"/>
                <w:bCs/>
                <w:szCs w:val="21"/>
              </w:rPr>
              <w:t>天然气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2233" w:type="dxa"/>
            <w:vAlign w:val="center"/>
          </w:tcPr>
          <w:p>
            <w:pPr>
              <w:spacing w:line="240" w:lineRule="auto"/>
              <w:ind w:firstLine="0" w:firstLineChars="0"/>
              <w:jc w:val="center"/>
              <w:rPr>
                <w:color w:val="000000"/>
              </w:rPr>
            </w:pPr>
            <w:r>
              <w:rPr>
                <w:color w:val="000000"/>
              </w:rPr>
              <w:t>设计生产能力</w:t>
            </w:r>
          </w:p>
        </w:tc>
        <w:tc>
          <w:tcPr>
            <w:tcW w:w="7845" w:type="dxa"/>
            <w:gridSpan w:val="5"/>
            <w:vAlign w:val="center"/>
          </w:tcPr>
          <w:p>
            <w:pPr>
              <w:spacing w:line="240" w:lineRule="auto"/>
              <w:ind w:firstLine="0" w:firstLineChars="0"/>
              <w:jc w:val="center"/>
              <w:rPr>
                <w:color w:val="000000"/>
              </w:rPr>
            </w:pPr>
            <w:r>
              <w:rPr>
                <w:rFonts w:hint="eastAsia"/>
                <w:bCs/>
                <w:szCs w:val="21"/>
              </w:rPr>
              <w:t>年供汽油2</w:t>
            </w:r>
            <w:r>
              <w:rPr>
                <w:bCs/>
                <w:szCs w:val="21"/>
              </w:rPr>
              <w:t>537</w:t>
            </w:r>
            <w:r>
              <w:rPr>
                <w:rFonts w:hint="eastAsia"/>
                <w:bCs/>
                <w:szCs w:val="21"/>
              </w:rPr>
              <w:t>t、柴油</w:t>
            </w:r>
            <w:r>
              <w:rPr>
                <w:bCs/>
                <w:szCs w:val="21"/>
              </w:rPr>
              <w:t>3044t</w:t>
            </w:r>
            <w:r>
              <w:rPr>
                <w:rFonts w:hint="eastAsia"/>
                <w:bCs/>
                <w:szCs w:val="21"/>
              </w:rPr>
              <w:t xml:space="preserve"> 、L</w:t>
            </w:r>
            <w:r>
              <w:rPr>
                <w:bCs/>
                <w:szCs w:val="21"/>
              </w:rPr>
              <w:t>NG 5.48×10</w:t>
            </w:r>
            <w:r>
              <w:rPr>
                <w:bCs/>
                <w:szCs w:val="21"/>
                <w:vertAlign w:val="superscript"/>
              </w:rPr>
              <w:t>6</w:t>
            </w:r>
            <w:r>
              <w:rPr>
                <w:bCs/>
                <w:szCs w:val="21"/>
              </w:rPr>
              <w:t>Nm</w:t>
            </w:r>
            <w:r>
              <w:rPr>
                <w:bCs/>
                <w:szCs w:val="21"/>
                <w:vertAlign w:val="superscript"/>
              </w:rPr>
              <w:t>3</w:t>
            </w:r>
            <w:r>
              <w:rPr>
                <w:rFonts w:hint="eastAsia"/>
                <w:bCs/>
                <w:szCs w:val="21"/>
              </w:rPr>
              <w:t>、C</w:t>
            </w:r>
            <w:r>
              <w:rPr>
                <w:bCs/>
                <w:szCs w:val="21"/>
              </w:rPr>
              <w:t xml:space="preserve">NC </w:t>
            </w:r>
            <w:r>
              <w:t>1.</w:t>
            </w:r>
            <w:r>
              <w:rPr>
                <w:rFonts w:hint="eastAsia"/>
              </w:rPr>
              <w:t>46</w:t>
            </w:r>
            <w:r>
              <w:t>×10</w:t>
            </w:r>
            <w:r>
              <w:rPr>
                <w:rFonts w:hint="eastAsia"/>
                <w:vertAlign w:val="superscript"/>
              </w:rPr>
              <w:t>6</w:t>
            </w:r>
            <w:r>
              <w:t>Nm</w:t>
            </w:r>
            <w:r>
              <w:rPr>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实际生产能力</w:t>
            </w:r>
          </w:p>
        </w:tc>
        <w:tc>
          <w:tcPr>
            <w:tcW w:w="7845" w:type="dxa"/>
            <w:gridSpan w:val="5"/>
            <w:vAlign w:val="center"/>
          </w:tcPr>
          <w:p>
            <w:pPr>
              <w:spacing w:line="240" w:lineRule="auto"/>
              <w:ind w:firstLine="0" w:firstLineChars="0"/>
              <w:jc w:val="center"/>
              <w:rPr>
                <w:color w:val="000000"/>
              </w:rPr>
            </w:pPr>
            <w:r>
              <w:rPr>
                <w:rFonts w:hint="eastAsia"/>
                <w:bCs/>
                <w:szCs w:val="21"/>
              </w:rPr>
              <w:t>年供汽油2</w:t>
            </w:r>
            <w:r>
              <w:rPr>
                <w:bCs/>
                <w:szCs w:val="21"/>
              </w:rPr>
              <w:t>500</w:t>
            </w:r>
            <w:r>
              <w:rPr>
                <w:rFonts w:hint="eastAsia"/>
                <w:bCs/>
                <w:szCs w:val="21"/>
              </w:rPr>
              <w:t>t、柴油</w:t>
            </w:r>
            <w:r>
              <w:rPr>
                <w:bCs/>
                <w:szCs w:val="21"/>
              </w:rPr>
              <w:t>3000t</w:t>
            </w:r>
            <w:r>
              <w:rPr>
                <w:rFonts w:hint="eastAsia"/>
                <w:bCs/>
                <w:szCs w:val="21"/>
              </w:rPr>
              <w:t xml:space="preserve"> 、L</w:t>
            </w:r>
            <w:r>
              <w:rPr>
                <w:bCs/>
                <w:szCs w:val="21"/>
              </w:rPr>
              <w:t>NG 2.50×10</w:t>
            </w:r>
            <w:r>
              <w:rPr>
                <w:bCs/>
                <w:szCs w:val="21"/>
                <w:vertAlign w:val="superscript"/>
              </w:rPr>
              <w:t>6</w:t>
            </w:r>
            <w:r>
              <w:rPr>
                <w:bCs/>
                <w:szCs w:val="21"/>
              </w:rPr>
              <w:t>Nm</w:t>
            </w:r>
            <w:r>
              <w:rPr>
                <w:bCs/>
                <w:szCs w:val="21"/>
                <w:vertAlign w:val="superscript"/>
              </w:rPr>
              <w:t>3</w:t>
            </w:r>
            <w:r>
              <w:rPr>
                <w:rFonts w:hint="eastAsia"/>
                <w:bCs/>
                <w:szCs w:val="21"/>
              </w:rPr>
              <w:t>、C</w:t>
            </w:r>
            <w:r>
              <w:rPr>
                <w:bCs/>
                <w:szCs w:val="21"/>
              </w:rPr>
              <w:t>NC</w:t>
            </w:r>
            <w:r>
              <w:t>1.20×10</w:t>
            </w:r>
            <w:r>
              <w:rPr>
                <w:rFonts w:hint="eastAsia"/>
                <w:vertAlign w:val="superscript"/>
              </w:rPr>
              <w:t>6</w:t>
            </w:r>
            <w:r>
              <w:t>Nm</w:t>
            </w:r>
            <w:r>
              <w:rPr>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pPr>
            <w:r>
              <w:t>建设项目环评时间</w:t>
            </w:r>
          </w:p>
        </w:tc>
        <w:tc>
          <w:tcPr>
            <w:tcW w:w="2312" w:type="dxa"/>
            <w:vAlign w:val="center"/>
          </w:tcPr>
          <w:p>
            <w:pPr>
              <w:spacing w:line="240" w:lineRule="auto"/>
              <w:ind w:firstLine="0" w:firstLineChars="0"/>
              <w:jc w:val="center"/>
            </w:pPr>
            <w:r>
              <w:rPr>
                <w:rFonts w:hint="eastAsia"/>
              </w:rPr>
              <w:t>201</w:t>
            </w:r>
            <w:r>
              <w:t>7</w:t>
            </w:r>
            <w:r>
              <w:rPr>
                <w:rFonts w:hint="eastAsia"/>
              </w:rPr>
              <w:t>年</w:t>
            </w:r>
            <w:r>
              <w:t>7</w:t>
            </w:r>
            <w:r>
              <w:rPr>
                <w:rFonts w:hint="eastAsia"/>
              </w:rPr>
              <w:t>月</w:t>
            </w:r>
          </w:p>
        </w:tc>
        <w:tc>
          <w:tcPr>
            <w:tcW w:w="2155" w:type="dxa"/>
            <w:vAlign w:val="center"/>
          </w:tcPr>
          <w:p>
            <w:pPr>
              <w:spacing w:line="240" w:lineRule="auto"/>
              <w:ind w:firstLine="0" w:firstLineChars="0"/>
              <w:jc w:val="center"/>
            </w:pPr>
            <w:r>
              <w:t>开工建设时间</w:t>
            </w:r>
          </w:p>
        </w:tc>
        <w:tc>
          <w:tcPr>
            <w:tcW w:w="3378" w:type="dxa"/>
            <w:gridSpan w:val="3"/>
            <w:vAlign w:val="center"/>
          </w:tcPr>
          <w:p>
            <w:pPr>
              <w:spacing w:line="240" w:lineRule="auto"/>
              <w:ind w:firstLine="0" w:firstLineChars="0"/>
              <w:jc w:val="center"/>
            </w:pPr>
            <w:r>
              <w:rPr>
                <w:rFonts w:hint="eastAsia"/>
              </w:rPr>
              <w:t>2019年10月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pPr>
            <w:r>
              <w:t>调试时间</w:t>
            </w:r>
          </w:p>
        </w:tc>
        <w:tc>
          <w:tcPr>
            <w:tcW w:w="2312" w:type="dxa"/>
            <w:vAlign w:val="center"/>
          </w:tcPr>
          <w:p>
            <w:pPr>
              <w:spacing w:line="240" w:lineRule="auto"/>
              <w:ind w:firstLine="0" w:firstLineChars="0"/>
              <w:jc w:val="center"/>
            </w:pPr>
            <w:r>
              <w:rPr>
                <w:rFonts w:hint="eastAsia"/>
              </w:rPr>
              <w:t>20</w:t>
            </w:r>
            <w:r>
              <w:t>21</w:t>
            </w:r>
            <w:r>
              <w:rPr>
                <w:rFonts w:hint="eastAsia"/>
              </w:rPr>
              <w:t>年</w:t>
            </w:r>
            <w:r>
              <w:t>5</w:t>
            </w:r>
            <w:r>
              <w:rPr>
                <w:rFonts w:hint="eastAsia"/>
              </w:rPr>
              <w:t>月</w:t>
            </w:r>
          </w:p>
        </w:tc>
        <w:tc>
          <w:tcPr>
            <w:tcW w:w="2155" w:type="dxa"/>
            <w:vAlign w:val="center"/>
          </w:tcPr>
          <w:p>
            <w:pPr>
              <w:spacing w:line="240" w:lineRule="auto"/>
              <w:ind w:firstLine="0" w:firstLineChars="0"/>
              <w:jc w:val="center"/>
            </w:pPr>
            <w:r>
              <w:t>验收现场监测时间</w:t>
            </w:r>
          </w:p>
        </w:tc>
        <w:tc>
          <w:tcPr>
            <w:tcW w:w="3378" w:type="dxa"/>
            <w:gridSpan w:val="3"/>
            <w:vAlign w:val="center"/>
          </w:tcPr>
          <w:p>
            <w:pPr>
              <w:spacing w:line="240" w:lineRule="auto"/>
              <w:ind w:firstLine="0" w:firstLineChars="0"/>
              <w:jc w:val="center"/>
            </w:pPr>
            <w:r>
              <w:rPr>
                <w:rFonts w:hint="eastAsia"/>
              </w:rPr>
              <w:t>202</w:t>
            </w:r>
            <w:r>
              <w:t>1</w:t>
            </w:r>
            <w:r>
              <w:rPr>
                <w:rFonts w:hint="eastAsia"/>
              </w:rPr>
              <w:t>.</w:t>
            </w:r>
            <w:r>
              <w:t>8.12</w:t>
            </w:r>
            <w:r>
              <w:rPr>
                <w:rFonts w:hint="eastAsia"/>
              </w:rPr>
              <w:t>~202</w:t>
            </w:r>
            <w:r>
              <w:t>1</w:t>
            </w:r>
            <w:r>
              <w:rPr>
                <w:rFonts w:hint="eastAsia"/>
              </w:rPr>
              <w:t>.</w:t>
            </w:r>
            <w:r>
              <w:t>8</w:t>
            </w:r>
            <w:r>
              <w:rPr>
                <w:rFonts w:hint="eastAsia"/>
              </w:rPr>
              <w:t>.</w:t>
            </w:r>
            <w: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233" w:type="dxa"/>
            <w:vAlign w:val="center"/>
          </w:tcPr>
          <w:p>
            <w:pPr>
              <w:spacing w:line="240" w:lineRule="auto"/>
              <w:ind w:firstLine="0" w:firstLineChars="0"/>
              <w:jc w:val="center"/>
              <w:rPr>
                <w:color w:val="000000"/>
              </w:rPr>
            </w:pPr>
            <w:r>
              <w:rPr>
                <w:color w:val="000000"/>
              </w:rPr>
              <w:t>环评报告表</w:t>
            </w:r>
          </w:p>
          <w:p>
            <w:pPr>
              <w:spacing w:line="240" w:lineRule="auto"/>
              <w:ind w:firstLine="0" w:firstLineChars="0"/>
              <w:jc w:val="center"/>
              <w:rPr>
                <w:color w:val="000000"/>
              </w:rPr>
            </w:pPr>
            <w:r>
              <w:rPr>
                <w:color w:val="000000"/>
              </w:rPr>
              <w:t>审批部门</w:t>
            </w:r>
          </w:p>
        </w:tc>
        <w:tc>
          <w:tcPr>
            <w:tcW w:w="2312" w:type="dxa"/>
            <w:vAlign w:val="center"/>
          </w:tcPr>
          <w:p>
            <w:pPr>
              <w:spacing w:line="240" w:lineRule="auto"/>
              <w:ind w:firstLine="0" w:firstLineChars="0"/>
              <w:jc w:val="center"/>
              <w:rPr>
                <w:color w:val="000000"/>
              </w:rPr>
            </w:pPr>
            <w:r>
              <w:rPr>
                <w:rFonts w:hint="eastAsia"/>
                <w:color w:val="000000"/>
              </w:rPr>
              <w:t>铜陵市郊区环境保护局</w:t>
            </w:r>
          </w:p>
        </w:tc>
        <w:tc>
          <w:tcPr>
            <w:tcW w:w="2155" w:type="dxa"/>
            <w:vAlign w:val="center"/>
          </w:tcPr>
          <w:p>
            <w:pPr>
              <w:spacing w:line="240" w:lineRule="auto"/>
              <w:ind w:firstLine="0" w:firstLineChars="0"/>
              <w:jc w:val="center"/>
              <w:rPr>
                <w:color w:val="000000"/>
              </w:rPr>
            </w:pPr>
            <w:r>
              <w:rPr>
                <w:color w:val="000000"/>
              </w:rPr>
              <w:t>环评报告</w:t>
            </w:r>
            <w:r>
              <w:rPr>
                <w:rFonts w:hint="eastAsia"/>
                <w:color w:val="000000"/>
              </w:rPr>
              <w:t>表</w:t>
            </w:r>
          </w:p>
          <w:p>
            <w:pPr>
              <w:spacing w:line="240" w:lineRule="auto"/>
              <w:ind w:firstLine="0" w:firstLineChars="0"/>
              <w:jc w:val="center"/>
              <w:rPr>
                <w:color w:val="000000"/>
              </w:rPr>
            </w:pPr>
            <w:r>
              <w:rPr>
                <w:color w:val="000000"/>
              </w:rPr>
              <w:t>编制单位</w:t>
            </w:r>
          </w:p>
        </w:tc>
        <w:tc>
          <w:tcPr>
            <w:tcW w:w="3378" w:type="dxa"/>
            <w:gridSpan w:val="3"/>
            <w:vAlign w:val="center"/>
          </w:tcPr>
          <w:p>
            <w:pPr>
              <w:spacing w:line="240" w:lineRule="auto"/>
              <w:ind w:firstLine="0" w:firstLineChars="0"/>
              <w:jc w:val="center"/>
              <w:rPr>
                <w:color w:val="000000"/>
              </w:rPr>
            </w:pPr>
            <w:r>
              <w:rPr>
                <w:rFonts w:hint="eastAsia"/>
                <w:color w:val="000000"/>
              </w:rPr>
              <w:t>安徽师达环保科技有限公司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环保设施设计单位</w:t>
            </w:r>
          </w:p>
        </w:tc>
        <w:tc>
          <w:tcPr>
            <w:tcW w:w="2312" w:type="dxa"/>
            <w:vAlign w:val="center"/>
          </w:tcPr>
          <w:p>
            <w:pPr>
              <w:spacing w:line="240" w:lineRule="auto"/>
              <w:ind w:firstLine="0" w:firstLineChars="0"/>
              <w:jc w:val="center"/>
              <w:rPr>
                <w:color w:val="000000"/>
              </w:rPr>
            </w:pPr>
            <w:r>
              <w:rPr>
                <w:rFonts w:hint="eastAsia"/>
                <w:color w:val="000000"/>
              </w:rPr>
              <w:t>/</w:t>
            </w:r>
          </w:p>
        </w:tc>
        <w:tc>
          <w:tcPr>
            <w:tcW w:w="2155" w:type="dxa"/>
            <w:vAlign w:val="center"/>
          </w:tcPr>
          <w:p>
            <w:pPr>
              <w:spacing w:line="240" w:lineRule="auto"/>
              <w:ind w:firstLine="0" w:firstLineChars="0"/>
              <w:jc w:val="center"/>
              <w:rPr>
                <w:color w:val="000000"/>
              </w:rPr>
            </w:pPr>
            <w:r>
              <w:rPr>
                <w:color w:val="000000"/>
              </w:rPr>
              <w:t>环保设施施工单位</w:t>
            </w:r>
          </w:p>
        </w:tc>
        <w:tc>
          <w:tcPr>
            <w:tcW w:w="3378" w:type="dxa"/>
            <w:gridSpan w:val="3"/>
            <w:vAlign w:val="center"/>
          </w:tcPr>
          <w:p>
            <w:pPr>
              <w:spacing w:line="240" w:lineRule="auto"/>
              <w:ind w:firstLine="0" w:firstLineChars="0"/>
              <w:jc w:val="center"/>
              <w:rPr>
                <w:color w:val="000000"/>
              </w:rPr>
            </w:pPr>
            <w:r>
              <w:rPr>
                <w:rFonts w:hint="eastAsia"/>
                <w:color w:val="00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rPr>
                <w:color w:val="000000"/>
              </w:rPr>
            </w:pPr>
            <w:r>
              <w:rPr>
                <w:color w:val="000000"/>
              </w:rPr>
              <w:t>投资总概算</w:t>
            </w:r>
          </w:p>
          <w:p>
            <w:pPr>
              <w:spacing w:line="240" w:lineRule="auto"/>
              <w:ind w:firstLine="0" w:firstLineChars="0"/>
              <w:jc w:val="center"/>
              <w:rPr>
                <w:color w:val="000000"/>
              </w:rPr>
            </w:pPr>
            <w:r>
              <w:rPr>
                <w:color w:val="000000"/>
              </w:rPr>
              <w:t>（万元）</w:t>
            </w:r>
          </w:p>
        </w:tc>
        <w:tc>
          <w:tcPr>
            <w:tcW w:w="2312" w:type="dxa"/>
            <w:vAlign w:val="center"/>
          </w:tcPr>
          <w:p>
            <w:pPr>
              <w:spacing w:line="240" w:lineRule="auto"/>
              <w:ind w:firstLine="0" w:firstLineChars="0"/>
              <w:jc w:val="center"/>
              <w:rPr>
                <w:color w:val="000000"/>
              </w:rPr>
            </w:pPr>
            <w:r>
              <w:t>300</w:t>
            </w:r>
            <w:r>
              <w:rPr>
                <w:rFonts w:hint="eastAsia"/>
              </w:rPr>
              <w:t>0</w:t>
            </w:r>
          </w:p>
        </w:tc>
        <w:tc>
          <w:tcPr>
            <w:tcW w:w="2155" w:type="dxa"/>
            <w:vAlign w:val="center"/>
          </w:tcPr>
          <w:p>
            <w:pPr>
              <w:spacing w:line="240" w:lineRule="auto"/>
              <w:ind w:firstLine="0" w:firstLineChars="0"/>
              <w:jc w:val="center"/>
              <w:rPr>
                <w:color w:val="000000"/>
              </w:rPr>
            </w:pPr>
            <w:r>
              <w:rPr>
                <w:color w:val="000000"/>
              </w:rPr>
              <w:t>环保投资总概算</w:t>
            </w:r>
          </w:p>
          <w:p>
            <w:pPr>
              <w:spacing w:line="240" w:lineRule="auto"/>
              <w:ind w:firstLine="0" w:firstLineChars="0"/>
              <w:jc w:val="center"/>
              <w:rPr>
                <w:color w:val="000000"/>
              </w:rPr>
            </w:pPr>
            <w:r>
              <w:rPr>
                <w:color w:val="000000"/>
              </w:rPr>
              <w:t>（万元）</w:t>
            </w:r>
          </w:p>
        </w:tc>
        <w:tc>
          <w:tcPr>
            <w:tcW w:w="970" w:type="dxa"/>
            <w:vAlign w:val="center"/>
          </w:tcPr>
          <w:p>
            <w:pPr>
              <w:spacing w:line="240" w:lineRule="auto"/>
              <w:ind w:firstLine="0" w:firstLineChars="0"/>
              <w:jc w:val="center"/>
              <w:rPr>
                <w:color w:val="000000"/>
              </w:rPr>
            </w:pPr>
            <w:r>
              <w:t>45</w:t>
            </w:r>
          </w:p>
        </w:tc>
        <w:tc>
          <w:tcPr>
            <w:tcW w:w="765" w:type="dxa"/>
            <w:vAlign w:val="center"/>
          </w:tcPr>
          <w:p>
            <w:pPr>
              <w:spacing w:line="240" w:lineRule="auto"/>
              <w:ind w:firstLine="0" w:firstLineChars="0"/>
              <w:jc w:val="center"/>
              <w:rPr>
                <w:color w:val="000000"/>
              </w:rPr>
            </w:pPr>
            <w:r>
              <w:rPr>
                <w:color w:val="000000"/>
              </w:rPr>
              <w:t>比例</w:t>
            </w:r>
          </w:p>
        </w:tc>
        <w:tc>
          <w:tcPr>
            <w:tcW w:w="1643" w:type="dxa"/>
            <w:vAlign w:val="center"/>
          </w:tcPr>
          <w:p>
            <w:pPr>
              <w:spacing w:line="240" w:lineRule="auto"/>
              <w:ind w:firstLine="0" w:firstLineChars="0"/>
              <w:jc w:val="center"/>
              <w:rPr>
                <w:color w:val="000000"/>
              </w:rPr>
            </w:pPr>
            <w:r>
              <w:t>1.5</w:t>
            </w: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3" w:type="dxa"/>
            <w:vAlign w:val="center"/>
          </w:tcPr>
          <w:p>
            <w:pPr>
              <w:spacing w:line="240" w:lineRule="auto"/>
              <w:ind w:firstLine="0" w:firstLineChars="0"/>
              <w:jc w:val="center"/>
            </w:pPr>
            <w:r>
              <w:t>实际总概算</w:t>
            </w:r>
          </w:p>
          <w:p>
            <w:pPr>
              <w:spacing w:line="240" w:lineRule="auto"/>
              <w:ind w:firstLine="0" w:firstLineChars="0"/>
              <w:jc w:val="center"/>
              <w:rPr>
                <w:color w:val="FF0000"/>
              </w:rPr>
            </w:pPr>
            <w:r>
              <w:t>（万元）</w:t>
            </w:r>
          </w:p>
        </w:tc>
        <w:tc>
          <w:tcPr>
            <w:tcW w:w="2312" w:type="dxa"/>
            <w:vAlign w:val="center"/>
          </w:tcPr>
          <w:p>
            <w:pPr>
              <w:spacing w:line="240" w:lineRule="auto"/>
              <w:ind w:firstLine="0" w:firstLineChars="0"/>
              <w:jc w:val="center"/>
            </w:pPr>
            <w:r>
              <w:t>3890</w:t>
            </w:r>
          </w:p>
        </w:tc>
        <w:tc>
          <w:tcPr>
            <w:tcW w:w="2155" w:type="dxa"/>
            <w:vAlign w:val="center"/>
          </w:tcPr>
          <w:p>
            <w:pPr>
              <w:spacing w:line="240" w:lineRule="auto"/>
              <w:ind w:firstLine="0" w:firstLineChars="0"/>
              <w:jc w:val="center"/>
            </w:pPr>
            <w:r>
              <w:t>环保投资（万元）</w:t>
            </w:r>
          </w:p>
        </w:tc>
        <w:tc>
          <w:tcPr>
            <w:tcW w:w="970" w:type="dxa"/>
            <w:vAlign w:val="center"/>
          </w:tcPr>
          <w:p>
            <w:pPr>
              <w:spacing w:line="240" w:lineRule="auto"/>
              <w:ind w:firstLine="0" w:firstLineChars="0"/>
              <w:jc w:val="center"/>
              <w:rPr>
                <w:rFonts w:hint="default" w:eastAsia="宋体"/>
                <w:lang w:val="en-US" w:eastAsia="zh-CN"/>
              </w:rPr>
            </w:pPr>
            <w:r>
              <w:rPr>
                <w:rFonts w:hint="eastAsia"/>
                <w:color w:val="auto"/>
                <w:lang w:val="en-US" w:eastAsia="zh-CN"/>
              </w:rPr>
              <w:t>63</w:t>
            </w:r>
          </w:p>
        </w:tc>
        <w:tc>
          <w:tcPr>
            <w:tcW w:w="765" w:type="dxa"/>
            <w:vAlign w:val="center"/>
          </w:tcPr>
          <w:p>
            <w:pPr>
              <w:spacing w:line="240" w:lineRule="auto"/>
              <w:ind w:firstLine="0" w:firstLineChars="0"/>
              <w:jc w:val="center"/>
            </w:pPr>
            <w:r>
              <w:t>比例</w:t>
            </w:r>
          </w:p>
        </w:tc>
        <w:tc>
          <w:tcPr>
            <w:tcW w:w="1643" w:type="dxa"/>
            <w:vAlign w:val="center"/>
          </w:tcPr>
          <w:p>
            <w:pPr>
              <w:spacing w:line="240" w:lineRule="auto"/>
              <w:ind w:firstLine="0" w:firstLineChars="0"/>
              <w:jc w:val="center"/>
            </w:pPr>
            <w:r>
              <w:rPr>
                <w:rFonts w:hint="eastAsia"/>
                <w:lang w:val="en-US" w:eastAsia="zh-CN"/>
              </w:rPr>
              <w:t>1.62</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0" w:hRule="atLeast"/>
          <w:jc w:val="center"/>
        </w:trPr>
        <w:tc>
          <w:tcPr>
            <w:tcW w:w="2233" w:type="dxa"/>
            <w:vAlign w:val="center"/>
          </w:tcPr>
          <w:p>
            <w:pPr>
              <w:spacing w:line="240" w:lineRule="auto"/>
              <w:ind w:firstLine="0" w:firstLineChars="0"/>
              <w:jc w:val="center"/>
            </w:pPr>
            <w:r>
              <w:rPr>
                <w:color w:val="000000"/>
              </w:rPr>
              <w:t>验收监测依据</w:t>
            </w:r>
          </w:p>
        </w:tc>
        <w:tc>
          <w:tcPr>
            <w:tcW w:w="7845" w:type="dxa"/>
            <w:gridSpan w:val="5"/>
            <w:vAlign w:val="center"/>
          </w:tcPr>
          <w:p>
            <w:pPr>
              <w:numPr>
                <w:ilvl w:val="0"/>
                <w:numId w:val="2"/>
              </w:numPr>
              <w:adjustRightInd/>
              <w:snapToGrid/>
              <w:ind w:firstLine="480"/>
            </w:pPr>
            <w:r>
              <w:t>国家主席令第22号《中华人民共和国环境保护法(2014年修订)》2015年1月1日；</w:t>
            </w:r>
          </w:p>
          <w:p>
            <w:pPr>
              <w:numPr>
                <w:ilvl w:val="0"/>
                <w:numId w:val="2"/>
              </w:numPr>
              <w:adjustRightInd/>
              <w:snapToGrid/>
              <w:ind w:firstLine="480"/>
            </w:pPr>
            <w:r>
              <w:t>中华人民共和国国务院令第682号，《建设项目环境保护管理条例》，2017年10月1日；</w:t>
            </w:r>
          </w:p>
          <w:p>
            <w:pPr>
              <w:numPr>
                <w:ilvl w:val="0"/>
                <w:numId w:val="2"/>
              </w:numPr>
              <w:adjustRightInd/>
              <w:snapToGrid/>
              <w:ind w:firstLine="480"/>
            </w:pPr>
            <w:r>
              <w:t>环保部国环规环评[2017]4号，《建设项目竣工环境保护验收暂行办法》，2017年11月20日；</w:t>
            </w:r>
          </w:p>
          <w:p>
            <w:pPr>
              <w:numPr>
                <w:ilvl w:val="0"/>
                <w:numId w:val="2"/>
              </w:numPr>
              <w:adjustRightInd/>
              <w:snapToGrid/>
              <w:ind w:firstLine="480"/>
            </w:pPr>
            <w:r>
              <w:t>生态</w:t>
            </w:r>
            <w:r>
              <w:rPr>
                <w:rFonts w:hint="eastAsia"/>
              </w:rPr>
              <w:t>环境</w:t>
            </w:r>
            <w:r>
              <w:t>部公告 2018年 公告第9号，《建设项目竣工环境保护验收技术指南 污染影响类》，2018年5月15日。</w:t>
            </w:r>
          </w:p>
          <w:p>
            <w:pPr>
              <w:adjustRightInd/>
              <w:snapToGrid/>
              <w:ind w:firstLine="0" w:firstLineChars="0"/>
            </w:pPr>
            <w:r>
              <w:t xml:space="preserve">(5) </w:t>
            </w:r>
            <w:r>
              <w:rPr>
                <w:rFonts w:hint="eastAsia"/>
                <w:color w:val="000000"/>
              </w:rPr>
              <w:t>安徽师达环保科技有限公司201</w:t>
            </w:r>
            <w:r>
              <w:rPr>
                <w:color w:val="000000"/>
              </w:rPr>
              <w:t>7</w:t>
            </w:r>
            <w:r>
              <w:rPr>
                <w:rFonts w:hint="eastAsia"/>
                <w:color w:val="000000"/>
              </w:rPr>
              <w:t>年</w:t>
            </w:r>
            <w:r>
              <w:rPr>
                <w:color w:val="000000"/>
              </w:rPr>
              <w:t>7</w:t>
            </w:r>
            <w:r>
              <w:rPr>
                <w:rFonts w:hint="eastAsia"/>
                <w:color w:val="000000"/>
              </w:rPr>
              <w:t>月编制的</w:t>
            </w:r>
            <w:r>
              <w:t>《</w:t>
            </w:r>
            <w:r>
              <w:rPr>
                <w:rFonts w:hint="eastAsia"/>
              </w:rPr>
              <w:t>安徽灵通清洁能源股份有限公司灵通横港物流园L-CNC油气合建站项目环境影响报表</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33" w:type="dxa"/>
            <w:vAlign w:val="center"/>
          </w:tcPr>
          <w:p>
            <w:pPr>
              <w:ind w:firstLine="0" w:firstLineChars="0"/>
              <w:jc w:val="center"/>
              <w:rPr>
                <w:color w:val="000000"/>
              </w:rPr>
            </w:pPr>
            <w:r>
              <w:rPr>
                <w:color w:val="000000"/>
              </w:rPr>
              <w:t>验收监测依据</w:t>
            </w:r>
          </w:p>
        </w:tc>
        <w:tc>
          <w:tcPr>
            <w:tcW w:w="7845" w:type="dxa"/>
            <w:gridSpan w:val="5"/>
            <w:vAlign w:val="center"/>
          </w:tcPr>
          <w:p>
            <w:pPr>
              <w:adjustRightInd/>
              <w:snapToGrid/>
              <w:ind w:firstLine="0" w:firstLineChars="0"/>
              <w:rPr>
                <w:b/>
              </w:rPr>
            </w:pPr>
            <w:r>
              <w:t xml:space="preserve">(6) </w:t>
            </w:r>
            <w:r>
              <w:rPr>
                <w:rFonts w:hint="eastAsia"/>
                <w:color w:val="000000"/>
              </w:rPr>
              <w:t>铜陵市郊区环境保护局</w:t>
            </w:r>
            <w:r>
              <w:rPr>
                <w:rFonts w:hint="eastAsia"/>
              </w:rPr>
              <w:t>，</w:t>
            </w:r>
            <w:r>
              <w:t>《</w:t>
            </w:r>
            <w:r>
              <w:rPr>
                <w:rFonts w:hint="eastAsia"/>
              </w:rPr>
              <w:t>安徽灵通清洁能源股份有限公司灵通横港物流园L-CNC油气合建站项目环境影响报告表审批意见的函</w:t>
            </w:r>
            <w:r>
              <w:t>》（</w:t>
            </w:r>
            <w:r>
              <w:rPr>
                <w:rFonts w:hint="eastAsia"/>
              </w:rPr>
              <w:t>郊环函</w:t>
            </w:r>
            <w:r>
              <w:t>[2017]30号），2017年9月8日；</w:t>
            </w:r>
          </w:p>
          <w:p>
            <w:pPr>
              <w:adjustRightInd/>
              <w:snapToGrid/>
              <w:ind w:firstLine="0" w:firstLineChars="0"/>
            </w:pPr>
            <w:r>
              <w:t xml:space="preserve">(7) </w:t>
            </w:r>
            <w:r>
              <w:rPr>
                <w:rFonts w:hint="eastAsia"/>
              </w:rPr>
              <w:t>安徽诚翔分析测试科技有限公司</w:t>
            </w:r>
            <w:r>
              <w:t>检测报告，编号</w:t>
            </w:r>
            <w:r>
              <w:rPr>
                <w:rFonts w:ascii="宋体" w:hAnsi="宋体" w:eastAsia="宋体" w:cs="宋体"/>
                <w:sz w:val="24"/>
                <w:szCs w:val="24"/>
              </w:rPr>
              <w:t>CXJC2021080200</w:t>
            </w:r>
            <w:r>
              <w:rPr>
                <w:rFonts w:hint="eastAsia" w:ascii="宋体" w:hAnsi="宋体" w:eastAsia="宋体" w:cs="宋体"/>
                <w:sz w:val="24"/>
                <w:szCs w:val="24"/>
                <w:lang w:val="en-US" w:eastAsia="zh-CN"/>
              </w:rPr>
              <w:t>3；</w:t>
            </w:r>
            <w:r>
              <w:t>CXJC20210802004；</w:t>
            </w:r>
          </w:p>
          <w:p>
            <w:pPr>
              <w:adjustRightInd/>
              <w:snapToGrid/>
              <w:ind w:firstLine="0" w:firstLineChars="0"/>
            </w:pPr>
            <w:r>
              <w:t xml:space="preserve">(8) </w:t>
            </w:r>
            <w:r>
              <w:rPr>
                <w:rFonts w:hint="eastAsia"/>
              </w:rPr>
              <w:t>安徽灵通清洁能源股份有限公司</w:t>
            </w:r>
            <w:r>
              <w:t>验收监测委托书；</w:t>
            </w:r>
          </w:p>
          <w:p>
            <w:pPr>
              <w:ind w:firstLine="0" w:firstLineChars="0"/>
              <w:jc w:val="both"/>
              <w:rPr>
                <w:color w:val="000000"/>
              </w:rPr>
            </w:pPr>
            <w:r>
              <w:t xml:space="preserve">(9) </w:t>
            </w:r>
            <w:r>
              <w:rPr>
                <w:rFonts w:hint="eastAsia"/>
              </w:rPr>
              <w:t>安徽灵通清洁能源股份有限公司</w:t>
            </w:r>
            <w:r>
              <w:t>提供的相关资料｡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6" w:hRule="atLeast"/>
          <w:jc w:val="center"/>
        </w:trPr>
        <w:tc>
          <w:tcPr>
            <w:tcW w:w="2233" w:type="dxa"/>
            <w:vAlign w:val="center"/>
          </w:tcPr>
          <w:p>
            <w:pPr>
              <w:ind w:firstLine="0" w:firstLineChars="0"/>
              <w:jc w:val="center"/>
              <w:rPr>
                <w:color w:val="000000"/>
              </w:rPr>
            </w:pPr>
            <w:r>
              <w:rPr>
                <w:color w:val="000000"/>
              </w:rPr>
              <w:t>验收监测评价标准、标号、级别、限值</w:t>
            </w:r>
          </w:p>
        </w:tc>
        <w:tc>
          <w:tcPr>
            <w:tcW w:w="7845" w:type="dxa"/>
            <w:gridSpan w:val="5"/>
            <w:vAlign w:val="center"/>
          </w:tcPr>
          <w:p>
            <w:pPr>
              <w:ind w:firstLine="0" w:firstLineChars="0"/>
              <w:rPr>
                <w:b/>
                <w:bCs/>
              </w:rPr>
            </w:pPr>
            <w:r>
              <w:rPr>
                <w:b/>
                <w:bCs/>
              </w:rPr>
              <w:t>1、废水污染物排放标准</w:t>
            </w:r>
          </w:p>
          <w:p>
            <w:pPr>
              <w:numPr>
                <w:ilvl w:val="0"/>
                <w:numId w:val="3"/>
              </w:numPr>
              <w:ind w:right="120" w:rightChars="50" w:firstLine="0" w:firstLineChars="0"/>
            </w:pPr>
            <w:r>
              <w:rPr>
                <w:rFonts w:hint="eastAsia"/>
                <w:bCs/>
              </w:rPr>
              <w:t>本项目废水主要为生活污水，</w:t>
            </w:r>
            <w:r>
              <w:rPr>
                <w:rFonts w:hint="eastAsia"/>
              </w:rPr>
              <w:t>生活污水经地埋式污水处理装置处理后，委托第三方定时清掏，并用吸粪车抽走，不外排</w:t>
            </w:r>
            <w:r>
              <w:rPr>
                <w:rFonts w:hint="eastAsia" w:hAnsi="宋体"/>
                <w:bCs/>
              </w:rPr>
              <w:t>，</w:t>
            </w:r>
            <w:r>
              <w:rPr>
                <w:rFonts w:hint="eastAsia"/>
              </w:rPr>
              <w:t>废水执行</w:t>
            </w:r>
            <w:r>
              <w:t>《污水综合排放标准》（GB8978-1996）表4中</w:t>
            </w:r>
            <w:r>
              <w:rPr>
                <w:rFonts w:hint="eastAsia"/>
              </w:rPr>
              <w:t>三</w:t>
            </w:r>
            <w:r>
              <w:t>级标准</w:t>
            </w:r>
            <w:r>
              <w:rPr>
                <w:rFonts w:hint="eastAsia"/>
              </w:rPr>
              <w:t>。</w:t>
            </w:r>
          </w:p>
          <w:p>
            <w:pPr>
              <w:ind w:left="120" w:leftChars="50" w:right="120" w:rightChars="50" w:firstLine="480"/>
              <w:rPr>
                <w:rFonts w:ascii="宋体" w:hAnsi="宋体"/>
                <w:color w:val="000000"/>
              </w:rPr>
            </w:pPr>
            <w:r>
              <w:rPr>
                <w:rFonts w:hint="eastAsia" w:ascii="宋体" w:hAnsi="宋体"/>
                <w:color w:val="000000"/>
              </w:rPr>
              <w:t xml:space="preserve"> 本项目废水排放执行《污水综合排放标准》（GB8978-1996）中三级标准。</w:t>
            </w:r>
          </w:p>
          <w:p>
            <w:pPr>
              <w:ind w:right="120" w:rightChars="50" w:firstLine="462"/>
              <w:jc w:val="center"/>
              <w:rPr>
                <w:rFonts w:ascii="宋体" w:hAnsi="宋体"/>
                <w:b/>
                <w:bCs/>
                <w:color w:val="000000"/>
                <w:sz w:val="21"/>
                <w:szCs w:val="21"/>
              </w:rPr>
            </w:pPr>
            <w:r>
              <w:rPr>
                <w:rFonts w:hint="eastAsia" w:ascii="宋体" w:hAnsi="宋体"/>
                <w:b/>
                <w:bCs/>
                <w:color w:val="000000"/>
                <w:sz w:val="23"/>
                <w:szCs w:val="23"/>
              </w:rPr>
              <w:t xml:space="preserve">  </w:t>
            </w:r>
            <w:r>
              <w:rPr>
                <w:rFonts w:hint="eastAsia" w:ascii="宋体" w:hAnsi="宋体"/>
                <w:b/>
                <w:bCs/>
                <w:color w:val="000000"/>
              </w:rPr>
              <w:t xml:space="preserve">     </w:t>
            </w:r>
            <w:r>
              <w:rPr>
                <w:rFonts w:hint="eastAsia" w:ascii="宋体" w:hAnsi="宋体"/>
                <w:b/>
                <w:bCs/>
                <w:color w:val="000000"/>
                <w:sz w:val="21"/>
                <w:szCs w:val="21"/>
              </w:rPr>
              <w:t xml:space="preserve"> 表</w:t>
            </w:r>
            <w:r>
              <w:rPr>
                <w:rFonts w:hint="eastAsia"/>
                <w:b/>
                <w:bCs/>
                <w:color w:val="000000"/>
                <w:sz w:val="21"/>
                <w:szCs w:val="21"/>
              </w:rPr>
              <w:t>1-3</w:t>
            </w:r>
            <w:r>
              <w:rPr>
                <w:rFonts w:hint="eastAsia" w:ascii="宋体" w:hAnsi="宋体"/>
                <w:b/>
                <w:bCs/>
                <w:color w:val="000000"/>
                <w:sz w:val="21"/>
                <w:szCs w:val="21"/>
              </w:rPr>
              <w:t xml:space="preserve">  水污染物排放执行标准    单位：</w:t>
            </w:r>
            <w:r>
              <w:rPr>
                <w:b/>
                <w:bCs/>
                <w:color w:val="000000"/>
                <w:sz w:val="21"/>
                <w:szCs w:val="21"/>
              </w:rPr>
              <w:t>mg/L</w:t>
            </w:r>
            <w:r>
              <w:rPr>
                <w:rFonts w:hint="eastAsia" w:ascii="宋体" w:hAnsi="宋体"/>
                <w:b/>
                <w:bCs/>
                <w:color w:val="000000"/>
                <w:sz w:val="21"/>
                <w:szCs w:val="21"/>
              </w:rPr>
              <w:t>（</w:t>
            </w:r>
            <w:r>
              <w:rPr>
                <w:b/>
                <w:bCs/>
                <w:color w:val="000000"/>
                <w:sz w:val="21"/>
                <w:szCs w:val="21"/>
              </w:rPr>
              <w:t>pH</w:t>
            </w:r>
            <w:r>
              <w:rPr>
                <w:rFonts w:hint="eastAsia" w:ascii="宋体" w:hAnsi="宋体"/>
                <w:b/>
                <w:bCs/>
                <w:color w:val="000000"/>
                <w:sz w:val="21"/>
                <w:szCs w:val="21"/>
              </w:rPr>
              <w:t>除外）</w:t>
            </w:r>
          </w:p>
          <w:tbl>
            <w:tblPr>
              <w:tblStyle w:val="22"/>
              <w:tblW w:w="7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037"/>
              <w:gridCol w:w="1037"/>
              <w:gridCol w:w="1037"/>
              <w:gridCol w:w="1037"/>
              <w:gridCol w:w="103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252" w:type="dxa"/>
                  <w:tcBorders>
                    <w:top w:val="single" w:color="auto" w:sz="4" w:space="0"/>
                    <w:left w:val="single" w:color="auto" w:sz="4" w:space="0"/>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rFonts w:hint="eastAsia" w:ascii="宋体" w:hAnsi="宋体"/>
                      <w:color w:val="000000"/>
                      <w:sz w:val="21"/>
                      <w:szCs w:val="21"/>
                    </w:rPr>
                    <w:t>污染物</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pH</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rFonts w:hint="eastAsia" w:ascii="宋体" w:hAnsi="宋体"/>
                      <w:color w:val="000000"/>
                      <w:sz w:val="21"/>
                      <w:szCs w:val="21"/>
                    </w:rPr>
                    <w:t>C</w:t>
                  </w:r>
                  <w:r>
                    <w:rPr>
                      <w:color w:val="000000"/>
                      <w:sz w:val="21"/>
                      <w:szCs w:val="21"/>
                    </w:rPr>
                    <w:t>OD</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BOD</w:t>
                  </w:r>
                  <w:r>
                    <w:rPr>
                      <w:color w:val="000000"/>
                      <w:sz w:val="21"/>
                      <w:szCs w:val="21"/>
                      <w:vertAlign w:val="subscript"/>
                    </w:rPr>
                    <w:t>5</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SS</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rFonts w:hint="eastAsia" w:ascii="宋体" w:hAnsi="宋体"/>
                      <w:color w:val="000000"/>
                      <w:sz w:val="21"/>
                      <w:szCs w:val="21"/>
                    </w:rPr>
                    <w:t>石油类</w:t>
                  </w:r>
                </w:p>
              </w:tc>
              <w:tc>
                <w:tcPr>
                  <w:tcW w:w="1039"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rFonts w:hint="eastAsia" w:ascii="宋体" w:hAnsi="宋体"/>
                      <w:color w:val="00000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52" w:type="dxa"/>
                  <w:tcBorders>
                    <w:top w:val="single" w:color="auto" w:sz="4" w:space="0"/>
                    <w:left w:val="single" w:color="auto" w:sz="4" w:space="0"/>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rFonts w:hint="eastAsia" w:ascii="宋体" w:hAnsi="宋体"/>
                      <w:color w:val="000000"/>
                      <w:sz w:val="21"/>
                      <w:szCs w:val="21"/>
                    </w:rPr>
                    <w:t>标准限值</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6~9</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500</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300</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0" w:firstLineChars="0"/>
                    <w:jc w:val="center"/>
                    <w:rPr>
                      <w:rFonts w:ascii="宋体" w:hAnsi="宋体"/>
                      <w:color w:val="000000"/>
                      <w:sz w:val="21"/>
                      <w:szCs w:val="21"/>
                    </w:rPr>
                  </w:pPr>
                  <w:r>
                    <w:rPr>
                      <w:color w:val="000000"/>
                      <w:sz w:val="21"/>
                      <w:szCs w:val="21"/>
                    </w:rPr>
                    <w:t>400</w:t>
                  </w:r>
                </w:p>
              </w:tc>
              <w:tc>
                <w:tcPr>
                  <w:tcW w:w="1037" w:type="dxa"/>
                  <w:tcBorders>
                    <w:top w:val="single" w:color="auto" w:sz="4" w:space="0"/>
                    <w:left w:val="nil"/>
                    <w:bottom w:val="single" w:color="auto" w:sz="4" w:space="0"/>
                    <w:right w:val="single" w:color="auto" w:sz="4" w:space="0"/>
                  </w:tcBorders>
                </w:tcPr>
                <w:p>
                  <w:pPr>
                    <w:spacing w:line="240" w:lineRule="auto"/>
                    <w:ind w:right="120" w:rightChars="50" w:firstLine="420"/>
                    <w:jc w:val="center"/>
                    <w:rPr>
                      <w:rFonts w:ascii="宋体" w:hAnsi="宋体"/>
                      <w:color w:val="000000"/>
                      <w:sz w:val="21"/>
                      <w:szCs w:val="21"/>
                    </w:rPr>
                  </w:pPr>
                  <w:r>
                    <w:rPr>
                      <w:color w:val="000000"/>
                      <w:sz w:val="21"/>
                      <w:szCs w:val="21"/>
                    </w:rPr>
                    <w:t>20</w:t>
                  </w:r>
                </w:p>
              </w:tc>
              <w:tc>
                <w:tcPr>
                  <w:tcW w:w="1039" w:type="dxa"/>
                  <w:tcBorders>
                    <w:top w:val="single" w:color="auto" w:sz="4" w:space="0"/>
                    <w:left w:val="nil"/>
                    <w:bottom w:val="single" w:color="auto" w:sz="4" w:space="0"/>
                    <w:right w:val="single" w:color="auto" w:sz="4" w:space="0"/>
                  </w:tcBorders>
                </w:tcPr>
                <w:p>
                  <w:pPr>
                    <w:spacing w:line="240" w:lineRule="auto"/>
                    <w:ind w:right="120" w:rightChars="50" w:firstLine="420"/>
                    <w:jc w:val="center"/>
                    <w:rPr>
                      <w:rFonts w:ascii="宋体" w:hAnsi="宋体"/>
                      <w:color w:val="000000"/>
                      <w:sz w:val="21"/>
                      <w:szCs w:val="21"/>
                    </w:rPr>
                  </w:pPr>
                  <w:r>
                    <w:rPr>
                      <w:rFonts w:hint="eastAsia" w:ascii="宋体" w:hAnsi="宋体"/>
                      <w:color w:val="000000"/>
                      <w:sz w:val="21"/>
                      <w:szCs w:val="21"/>
                    </w:rPr>
                    <w:t>—</w:t>
                  </w:r>
                </w:p>
              </w:tc>
            </w:tr>
          </w:tbl>
          <w:p>
            <w:pPr>
              <w:ind w:firstLine="0" w:firstLineChars="0"/>
              <w:rPr>
                <w:b/>
                <w:bCs/>
              </w:rPr>
            </w:pPr>
            <w:r>
              <w:rPr>
                <w:b/>
                <w:bCs/>
              </w:rPr>
              <w:t>2、大气污染物排放标准</w:t>
            </w:r>
          </w:p>
          <w:p>
            <w:pPr>
              <w:ind w:firstLine="480"/>
              <w:rPr>
                <w:b/>
              </w:rPr>
            </w:pPr>
            <w:r>
              <w:rPr>
                <w:rFonts w:hint="eastAsia"/>
                <w:szCs w:val="32"/>
              </w:rPr>
              <w:t>厂区内无组织挥发性有机物执行《挥发性有机物无组织排放控制标准》（GB37822-2019）中限值要求</w:t>
            </w:r>
            <w:r>
              <w:t>。</w:t>
            </w:r>
          </w:p>
          <w:p>
            <w:pPr>
              <w:spacing w:line="240" w:lineRule="atLeast"/>
              <w:ind w:firstLine="0" w:firstLineChars="0"/>
              <w:jc w:val="both"/>
              <w:rPr>
                <w:b/>
                <w:sz w:val="21"/>
                <w:szCs w:val="21"/>
              </w:rPr>
            </w:pPr>
            <w:r>
              <w:rPr>
                <w:b/>
                <w:sz w:val="21"/>
                <w:szCs w:val="21"/>
              </w:rPr>
              <w:t>表4-</w:t>
            </w:r>
            <w:r>
              <w:rPr>
                <w:rFonts w:hint="eastAsia"/>
                <w:b/>
                <w:sz w:val="21"/>
                <w:szCs w:val="21"/>
              </w:rPr>
              <w:t>5</w:t>
            </w:r>
            <w:r>
              <w:rPr>
                <w:b/>
                <w:sz w:val="21"/>
                <w:szCs w:val="21"/>
              </w:rPr>
              <w:t xml:space="preserve">  《挥发性有机物无组织排放控制标准》（GB37822-2019）中限值要求  </w:t>
            </w:r>
            <w:r>
              <w:rPr>
                <w:b/>
                <w:bCs/>
                <w:sz w:val="21"/>
                <w:szCs w:val="21"/>
              </w:rPr>
              <w:t>mg/m</w:t>
            </w:r>
            <w:r>
              <w:rPr>
                <w:b/>
                <w:bCs/>
                <w:sz w:val="21"/>
                <w:szCs w:val="21"/>
                <w:vertAlign w:val="superscript"/>
              </w:rPr>
              <w:t>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950"/>
              <w:gridCol w:w="940"/>
              <w:gridCol w:w="2617"/>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218" w:type="dxa"/>
                  <w:vAlign w:val="center"/>
                </w:tcPr>
                <w:p>
                  <w:pPr>
                    <w:spacing w:line="240" w:lineRule="auto"/>
                    <w:ind w:firstLine="0" w:firstLineChars="0"/>
                    <w:jc w:val="both"/>
                    <w:rPr>
                      <w:sz w:val="21"/>
                      <w:szCs w:val="21"/>
                    </w:rPr>
                  </w:pPr>
                  <w:r>
                    <w:rPr>
                      <w:sz w:val="21"/>
                      <w:szCs w:val="21"/>
                    </w:rPr>
                    <w:t>污染物项目</w:t>
                  </w:r>
                </w:p>
              </w:tc>
              <w:tc>
                <w:tcPr>
                  <w:tcW w:w="950" w:type="dxa"/>
                  <w:vAlign w:val="center"/>
                </w:tcPr>
                <w:p>
                  <w:pPr>
                    <w:spacing w:line="240" w:lineRule="auto"/>
                    <w:ind w:firstLine="0" w:firstLineChars="0"/>
                    <w:jc w:val="both"/>
                    <w:rPr>
                      <w:sz w:val="21"/>
                      <w:szCs w:val="21"/>
                    </w:rPr>
                  </w:pPr>
                  <w:r>
                    <w:rPr>
                      <w:sz w:val="21"/>
                      <w:szCs w:val="21"/>
                    </w:rPr>
                    <w:t>排放限值</w:t>
                  </w:r>
                </w:p>
              </w:tc>
              <w:tc>
                <w:tcPr>
                  <w:tcW w:w="940" w:type="dxa"/>
                  <w:vAlign w:val="center"/>
                </w:tcPr>
                <w:p>
                  <w:pPr>
                    <w:spacing w:line="240" w:lineRule="auto"/>
                    <w:ind w:firstLine="0" w:firstLineChars="0"/>
                    <w:jc w:val="both"/>
                    <w:rPr>
                      <w:sz w:val="21"/>
                      <w:szCs w:val="21"/>
                    </w:rPr>
                  </w:pPr>
                  <w:r>
                    <w:rPr>
                      <w:sz w:val="21"/>
                      <w:szCs w:val="21"/>
                    </w:rPr>
                    <w:t>特别排放限值</w:t>
                  </w:r>
                </w:p>
              </w:tc>
              <w:tc>
                <w:tcPr>
                  <w:tcW w:w="2617" w:type="dxa"/>
                  <w:vAlign w:val="center"/>
                </w:tcPr>
                <w:p>
                  <w:pPr>
                    <w:spacing w:line="240" w:lineRule="auto"/>
                    <w:ind w:firstLine="0" w:firstLineChars="0"/>
                    <w:jc w:val="both"/>
                    <w:rPr>
                      <w:sz w:val="21"/>
                      <w:szCs w:val="21"/>
                    </w:rPr>
                  </w:pPr>
                  <w:r>
                    <w:rPr>
                      <w:sz w:val="21"/>
                      <w:szCs w:val="21"/>
                    </w:rPr>
                    <w:t>限值定义</w:t>
                  </w:r>
                </w:p>
              </w:tc>
              <w:tc>
                <w:tcPr>
                  <w:tcW w:w="1773" w:type="dxa"/>
                  <w:vAlign w:val="center"/>
                </w:tcPr>
                <w:p>
                  <w:pPr>
                    <w:spacing w:line="240" w:lineRule="auto"/>
                    <w:ind w:firstLine="0" w:firstLineChars="0"/>
                    <w:jc w:val="both"/>
                    <w:rPr>
                      <w:sz w:val="21"/>
                      <w:szCs w:val="21"/>
                    </w:rPr>
                  </w:pPr>
                  <w:r>
                    <w:rPr>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18" w:type="dxa"/>
                  <w:vMerge w:val="restart"/>
                  <w:vAlign w:val="center"/>
                </w:tcPr>
                <w:p>
                  <w:pPr>
                    <w:spacing w:line="240" w:lineRule="auto"/>
                    <w:ind w:firstLine="0" w:firstLineChars="0"/>
                    <w:jc w:val="both"/>
                    <w:rPr>
                      <w:sz w:val="21"/>
                      <w:szCs w:val="21"/>
                    </w:rPr>
                  </w:pPr>
                  <w:r>
                    <w:rPr>
                      <w:sz w:val="21"/>
                      <w:szCs w:val="21"/>
                    </w:rPr>
                    <w:t>NMHC</w:t>
                  </w:r>
                </w:p>
              </w:tc>
              <w:tc>
                <w:tcPr>
                  <w:tcW w:w="950" w:type="dxa"/>
                  <w:vAlign w:val="center"/>
                </w:tcPr>
                <w:p>
                  <w:pPr>
                    <w:spacing w:line="240" w:lineRule="auto"/>
                    <w:ind w:firstLine="0" w:firstLineChars="0"/>
                    <w:jc w:val="both"/>
                    <w:rPr>
                      <w:sz w:val="21"/>
                      <w:szCs w:val="21"/>
                    </w:rPr>
                  </w:pPr>
                  <w:r>
                    <w:rPr>
                      <w:sz w:val="21"/>
                      <w:szCs w:val="21"/>
                    </w:rPr>
                    <w:t>10</w:t>
                  </w:r>
                </w:p>
              </w:tc>
              <w:tc>
                <w:tcPr>
                  <w:tcW w:w="940" w:type="dxa"/>
                  <w:vAlign w:val="center"/>
                </w:tcPr>
                <w:p>
                  <w:pPr>
                    <w:spacing w:line="240" w:lineRule="auto"/>
                    <w:ind w:firstLine="0" w:firstLineChars="0"/>
                    <w:jc w:val="both"/>
                    <w:rPr>
                      <w:sz w:val="21"/>
                      <w:szCs w:val="21"/>
                    </w:rPr>
                  </w:pPr>
                  <w:r>
                    <w:rPr>
                      <w:sz w:val="21"/>
                      <w:szCs w:val="21"/>
                    </w:rPr>
                    <w:t>6</w:t>
                  </w:r>
                </w:p>
              </w:tc>
              <w:tc>
                <w:tcPr>
                  <w:tcW w:w="2617" w:type="dxa"/>
                  <w:vAlign w:val="center"/>
                </w:tcPr>
                <w:p>
                  <w:pPr>
                    <w:spacing w:line="240" w:lineRule="auto"/>
                    <w:ind w:firstLine="0" w:firstLineChars="0"/>
                    <w:jc w:val="both"/>
                    <w:rPr>
                      <w:sz w:val="21"/>
                      <w:szCs w:val="21"/>
                    </w:rPr>
                  </w:pPr>
                  <w:r>
                    <w:rPr>
                      <w:sz w:val="21"/>
                      <w:szCs w:val="21"/>
                    </w:rPr>
                    <w:t>监控点处1h平均浓度值</w:t>
                  </w:r>
                </w:p>
              </w:tc>
              <w:tc>
                <w:tcPr>
                  <w:tcW w:w="1773" w:type="dxa"/>
                  <w:vMerge w:val="restart"/>
                  <w:vAlign w:val="center"/>
                </w:tcPr>
                <w:p>
                  <w:pPr>
                    <w:spacing w:line="240" w:lineRule="auto"/>
                    <w:ind w:firstLine="0" w:firstLineChars="0"/>
                    <w:jc w:val="both"/>
                    <w:rPr>
                      <w:sz w:val="21"/>
                      <w:szCs w:val="21"/>
                    </w:rPr>
                  </w:pPr>
                  <w:r>
                    <w:rPr>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8" w:type="dxa"/>
                  <w:vMerge w:val="continue"/>
                  <w:vAlign w:val="center"/>
                </w:tcPr>
                <w:p>
                  <w:pPr>
                    <w:spacing w:line="240" w:lineRule="auto"/>
                    <w:ind w:firstLine="420"/>
                    <w:jc w:val="center"/>
                    <w:rPr>
                      <w:sz w:val="21"/>
                      <w:szCs w:val="21"/>
                    </w:rPr>
                  </w:pPr>
                </w:p>
              </w:tc>
              <w:tc>
                <w:tcPr>
                  <w:tcW w:w="950" w:type="dxa"/>
                  <w:vAlign w:val="center"/>
                </w:tcPr>
                <w:p>
                  <w:pPr>
                    <w:spacing w:line="240" w:lineRule="auto"/>
                    <w:ind w:firstLine="0" w:firstLineChars="0"/>
                    <w:jc w:val="both"/>
                    <w:rPr>
                      <w:sz w:val="21"/>
                      <w:szCs w:val="21"/>
                    </w:rPr>
                  </w:pPr>
                  <w:r>
                    <w:rPr>
                      <w:sz w:val="21"/>
                      <w:szCs w:val="21"/>
                    </w:rPr>
                    <w:t>30</w:t>
                  </w:r>
                </w:p>
              </w:tc>
              <w:tc>
                <w:tcPr>
                  <w:tcW w:w="940" w:type="dxa"/>
                  <w:vAlign w:val="center"/>
                </w:tcPr>
                <w:p>
                  <w:pPr>
                    <w:spacing w:line="240" w:lineRule="auto"/>
                    <w:ind w:firstLine="0" w:firstLineChars="0"/>
                    <w:jc w:val="both"/>
                    <w:rPr>
                      <w:sz w:val="21"/>
                      <w:szCs w:val="21"/>
                    </w:rPr>
                  </w:pPr>
                  <w:r>
                    <w:rPr>
                      <w:rFonts w:hint="eastAsia"/>
                      <w:sz w:val="21"/>
                      <w:szCs w:val="21"/>
                    </w:rPr>
                    <w:t>2</w:t>
                  </w:r>
                  <w:r>
                    <w:rPr>
                      <w:sz w:val="21"/>
                      <w:szCs w:val="21"/>
                    </w:rPr>
                    <w:t>0</w:t>
                  </w:r>
                </w:p>
              </w:tc>
              <w:tc>
                <w:tcPr>
                  <w:tcW w:w="2617" w:type="dxa"/>
                  <w:vAlign w:val="center"/>
                </w:tcPr>
                <w:p>
                  <w:pPr>
                    <w:spacing w:line="240" w:lineRule="auto"/>
                    <w:ind w:firstLine="0" w:firstLineChars="0"/>
                    <w:jc w:val="both"/>
                    <w:rPr>
                      <w:sz w:val="21"/>
                      <w:szCs w:val="21"/>
                    </w:rPr>
                  </w:pPr>
                  <w:r>
                    <w:rPr>
                      <w:sz w:val="21"/>
                      <w:szCs w:val="21"/>
                    </w:rPr>
                    <w:t>监控点处任意一处浓度值</w:t>
                  </w:r>
                </w:p>
              </w:tc>
              <w:tc>
                <w:tcPr>
                  <w:tcW w:w="1773" w:type="dxa"/>
                  <w:vMerge w:val="continue"/>
                  <w:vAlign w:val="center"/>
                </w:tcPr>
                <w:p>
                  <w:pPr>
                    <w:spacing w:line="240" w:lineRule="auto"/>
                    <w:ind w:firstLine="420"/>
                    <w:jc w:val="center"/>
                    <w:rPr>
                      <w:sz w:val="21"/>
                      <w:szCs w:val="21"/>
                    </w:rPr>
                  </w:pPr>
                </w:p>
              </w:tc>
            </w:tr>
          </w:tbl>
          <w:p>
            <w:pPr>
              <w:numPr>
                <w:ilvl w:val="0"/>
                <w:numId w:val="4"/>
              </w:numPr>
              <w:spacing w:line="240" w:lineRule="auto"/>
              <w:ind w:firstLine="482"/>
              <w:rPr>
                <w:b/>
                <w:bCs/>
              </w:rPr>
            </w:pPr>
            <w:r>
              <w:rPr>
                <w:b/>
                <w:bCs/>
              </w:rPr>
              <w:t>噪声</w:t>
            </w:r>
          </w:p>
          <w:p>
            <w:pPr>
              <w:ind w:firstLine="480"/>
            </w:pPr>
            <w:r>
              <w:t>运营期项目厂界噪声执行《工业企业厂界环境噪声排放标准》（GB12348-2008）中的</w:t>
            </w:r>
            <w:r>
              <w:rPr>
                <w:rFonts w:hint="eastAsia"/>
              </w:rPr>
              <w:t>2</w:t>
            </w:r>
            <w:r>
              <w:fldChar w:fldCharType="begin"/>
            </w:r>
            <w:r>
              <w:instrText xml:space="preserve"> = 3 \* ROMAN </w:instrText>
            </w:r>
            <w:r>
              <w:fldChar w:fldCharType="end"/>
            </w:r>
            <w:r>
              <w:t>类标准，具体标准限值如下。</w:t>
            </w:r>
          </w:p>
          <w:p>
            <w:pPr>
              <w:spacing w:line="240" w:lineRule="auto"/>
              <w:ind w:firstLine="422"/>
              <w:jc w:val="center"/>
              <w:rPr>
                <w:b/>
                <w:sz w:val="21"/>
                <w:szCs w:val="21"/>
              </w:rPr>
            </w:pPr>
            <w:r>
              <w:rPr>
                <w:b/>
                <w:sz w:val="21"/>
                <w:szCs w:val="21"/>
              </w:rPr>
              <w:t>表4-</w:t>
            </w:r>
            <w:r>
              <w:rPr>
                <w:rFonts w:hint="eastAsia"/>
                <w:b/>
                <w:sz w:val="21"/>
                <w:szCs w:val="21"/>
              </w:rPr>
              <w:t>6</w:t>
            </w:r>
            <w:r>
              <w:rPr>
                <w:b/>
                <w:sz w:val="21"/>
                <w:szCs w:val="21"/>
              </w:rPr>
              <w:t xml:space="preserve">  工业企业厂界环境噪声排放标准  （单位：dB（A））</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8"/>
              <w:gridCol w:w="719"/>
              <w:gridCol w:w="946"/>
              <w:gridCol w:w="9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37" w:type="dxa"/>
                  <w:gridSpan w:val="2"/>
                  <w:vAlign w:val="center"/>
                </w:tcPr>
                <w:p>
                  <w:pPr>
                    <w:pStyle w:val="49"/>
                    <w:spacing w:line="240" w:lineRule="auto"/>
                    <w:ind w:firstLine="422"/>
                    <w:rPr>
                      <w:rFonts w:ascii="Times New Roman" w:hAnsi="Times New Roman"/>
                      <w:b/>
                      <w:bCs/>
                      <w:color w:val="auto"/>
                      <w:sz w:val="21"/>
                      <w:szCs w:val="21"/>
                    </w:rPr>
                  </w:pPr>
                  <w:r>
                    <w:rPr>
                      <w:rFonts w:ascii="Times New Roman" w:hAnsi="Times New Roman"/>
                      <w:b/>
                      <w:bCs/>
                      <w:color w:val="auto"/>
                      <w:sz w:val="21"/>
                      <w:szCs w:val="21"/>
                    </w:rPr>
                    <w:t>标 准 名 称</w:t>
                  </w:r>
                </w:p>
              </w:tc>
              <w:tc>
                <w:tcPr>
                  <w:tcW w:w="946" w:type="dxa"/>
                  <w:vAlign w:val="center"/>
                </w:tcPr>
                <w:p>
                  <w:pPr>
                    <w:pStyle w:val="49"/>
                    <w:spacing w:line="240" w:lineRule="auto"/>
                    <w:ind w:firstLine="0" w:firstLineChars="0"/>
                    <w:jc w:val="both"/>
                    <w:rPr>
                      <w:rFonts w:ascii="Times New Roman" w:hAnsi="Times New Roman"/>
                      <w:b/>
                      <w:bCs/>
                      <w:color w:val="auto"/>
                      <w:sz w:val="21"/>
                      <w:szCs w:val="21"/>
                    </w:rPr>
                  </w:pPr>
                  <w:r>
                    <w:rPr>
                      <w:rFonts w:ascii="Times New Roman" w:hAnsi="Times New Roman"/>
                      <w:b/>
                      <w:bCs/>
                      <w:color w:val="auto"/>
                      <w:sz w:val="21"/>
                      <w:szCs w:val="21"/>
                    </w:rPr>
                    <w:t>昼 间</w:t>
                  </w:r>
                </w:p>
              </w:tc>
              <w:tc>
                <w:tcPr>
                  <w:tcW w:w="916" w:type="dxa"/>
                  <w:vAlign w:val="center"/>
                </w:tcPr>
                <w:p>
                  <w:pPr>
                    <w:pStyle w:val="49"/>
                    <w:spacing w:line="240" w:lineRule="auto"/>
                    <w:ind w:firstLine="0" w:firstLineChars="0"/>
                    <w:jc w:val="both"/>
                    <w:rPr>
                      <w:rFonts w:ascii="Times New Roman" w:hAnsi="Times New Roman"/>
                      <w:b/>
                      <w:bCs/>
                      <w:color w:val="auto"/>
                      <w:sz w:val="21"/>
                      <w:szCs w:val="21"/>
                    </w:rPr>
                  </w:pPr>
                  <w:r>
                    <w:rPr>
                      <w:rFonts w:ascii="Times New Roman" w:hAnsi="Times New Roman"/>
                      <w:b/>
                      <w:bCs/>
                      <w:color w:val="auto"/>
                      <w:sz w:val="21"/>
                      <w:szCs w:val="21"/>
                    </w:rPr>
                    <w:t>夜 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918" w:type="dxa"/>
                  <w:vAlign w:val="center"/>
                </w:tcPr>
                <w:p>
                  <w:pPr>
                    <w:pStyle w:val="49"/>
                    <w:spacing w:line="240" w:lineRule="auto"/>
                    <w:ind w:firstLine="0" w:firstLineChars="0"/>
                    <w:jc w:val="both"/>
                    <w:rPr>
                      <w:rFonts w:ascii="Times New Roman" w:hAnsi="Times New Roman"/>
                      <w:color w:val="auto"/>
                      <w:sz w:val="21"/>
                      <w:szCs w:val="21"/>
                    </w:rPr>
                  </w:pPr>
                  <w:r>
                    <w:rPr>
                      <w:rFonts w:ascii="Times New Roman" w:hAnsi="Times New Roman"/>
                      <w:color w:val="auto"/>
                      <w:sz w:val="21"/>
                      <w:szCs w:val="21"/>
                    </w:rPr>
                    <w:t>《工业企业厂界环境噪声排放标准》（GB1234-2008）</w:t>
                  </w:r>
                </w:p>
              </w:tc>
              <w:tc>
                <w:tcPr>
                  <w:tcW w:w="719" w:type="dxa"/>
                  <w:vAlign w:val="center"/>
                </w:tcPr>
                <w:p>
                  <w:pPr>
                    <w:pStyle w:val="49"/>
                    <w:spacing w:line="240" w:lineRule="auto"/>
                    <w:ind w:firstLine="0" w:firstLineChars="0"/>
                    <w:jc w:val="both"/>
                    <w:rPr>
                      <w:rFonts w:ascii="Times New Roman" w:hAnsi="Times New Roman"/>
                      <w:color w:val="auto"/>
                      <w:sz w:val="21"/>
                      <w:szCs w:val="21"/>
                    </w:rPr>
                  </w:pPr>
                  <w:r>
                    <w:rPr>
                      <w:rFonts w:hint="eastAsia" w:ascii="Times New Roman" w:hAnsi="Times New Roman"/>
                      <w:color w:val="auto"/>
                      <w:sz w:val="21"/>
                      <w:szCs w:val="21"/>
                    </w:rPr>
                    <w:t>2</w:t>
                  </w:r>
                  <w:r>
                    <w:rPr>
                      <w:rFonts w:ascii="Times New Roman" w:hAnsi="Times New Roman"/>
                      <w:color w:val="auto"/>
                      <w:sz w:val="21"/>
                      <w:szCs w:val="21"/>
                    </w:rPr>
                    <w:t>类</w:t>
                  </w:r>
                </w:p>
              </w:tc>
              <w:tc>
                <w:tcPr>
                  <w:tcW w:w="946" w:type="dxa"/>
                  <w:vAlign w:val="center"/>
                </w:tcPr>
                <w:p>
                  <w:pPr>
                    <w:pStyle w:val="49"/>
                    <w:spacing w:line="240" w:lineRule="auto"/>
                    <w:ind w:firstLine="0" w:firstLineChars="0"/>
                    <w:jc w:val="both"/>
                    <w:rPr>
                      <w:rFonts w:ascii="Times New Roman" w:hAnsi="Times New Roman"/>
                      <w:color w:val="auto"/>
                      <w:sz w:val="21"/>
                      <w:szCs w:val="21"/>
                    </w:rPr>
                  </w:pPr>
                  <w:r>
                    <w:rPr>
                      <w:rFonts w:ascii="Times New Roman" w:hAnsi="Times New Roman"/>
                      <w:color w:val="auto"/>
                      <w:sz w:val="21"/>
                      <w:szCs w:val="21"/>
                    </w:rPr>
                    <w:t>6</w:t>
                  </w:r>
                  <w:r>
                    <w:rPr>
                      <w:rFonts w:hint="eastAsia" w:ascii="Times New Roman" w:hAnsi="Times New Roman"/>
                      <w:color w:val="auto"/>
                      <w:sz w:val="21"/>
                      <w:szCs w:val="21"/>
                    </w:rPr>
                    <w:t>0</w:t>
                  </w:r>
                </w:p>
              </w:tc>
              <w:tc>
                <w:tcPr>
                  <w:tcW w:w="916" w:type="dxa"/>
                  <w:vAlign w:val="center"/>
                </w:tcPr>
                <w:p>
                  <w:pPr>
                    <w:pStyle w:val="49"/>
                    <w:spacing w:line="240" w:lineRule="auto"/>
                    <w:ind w:firstLine="0" w:firstLineChars="0"/>
                    <w:jc w:val="both"/>
                    <w:rPr>
                      <w:rFonts w:ascii="Times New Roman" w:hAnsi="Times New Roman"/>
                      <w:color w:val="auto"/>
                      <w:sz w:val="21"/>
                      <w:szCs w:val="21"/>
                    </w:rPr>
                  </w:pPr>
                  <w:r>
                    <w:rPr>
                      <w:rFonts w:ascii="Times New Roman" w:hAnsi="Times New Roman"/>
                      <w:color w:val="auto"/>
                      <w:sz w:val="21"/>
                      <w:szCs w:val="21"/>
                    </w:rPr>
                    <w:t>5</w:t>
                  </w:r>
                  <w:r>
                    <w:rPr>
                      <w:rFonts w:hint="eastAsia" w:ascii="Times New Roman" w:hAnsi="Times New Roman"/>
                      <w:color w:val="auto"/>
                      <w:sz w:val="21"/>
                      <w:szCs w:val="21"/>
                    </w:rPr>
                    <w:t>0</w:t>
                  </w:r>
                </w:p>
              </w:tc>
            </w:tr>
          </w:tbl>
          <w:p>
            <w:pPr>
              <w:ind w:firstLine="482"/>
              <w:rPr>
                <w:b/>
                <w:bCs/>
              </w:rPr>
            </w:pPr>
            <w:r>
              <w:rPr>
                <w:b/>
                <w:bCs/>
              </w:rPr>
              <w:t>4、固废</w:t>
            </w:r>
          </w:p>
          <w:p>
            <w:pPr>
              <w:ind w:right="113" w:firstLine="480"/>
            </w:pPr>
            <w:r>
              <w:t>一般固体废物处理处置执行《一般工业固体废物贮存、处置场污染控制标准》 （GB18599-2001）及其 2013 年修改单内容的有关规定。</w:t>
            </w:r>
          </w:p>
          <w:p>
            <w:pPr>
              <w:ind w:right="113" w:firstLine="0" w:firstLineChars="0"/>
            </w:pPr>
            <w:r>
              <w:rPr>
                <w:rFonts w:hint="eastAsia"/>
                <w:kern w:val="0"/>
                <w:sz w:val="24"/>
              </w:rPr>
              <w:t>危险废物执行《危险废物贮存污染控制标准》（GB18597-2001）及修改单。</w:t>
            </w:r>
          </w:p>
        </w:tc>
      </w:tr>
    </w:tbl>
    <w:p>
      <w:pPr>
        <w:ind w:firstLine="420"/>
        <w:rPr>
          <w:rFonts w:eastAsia="仿宋_GB2312"/>
          <w:b/>
          <w:color w:val="000000"/>
          <w:sz w:val="21"/>
          <w:szCs w:val="21"/>
        </w:rPr>
      </w:pPr>
      <w:r>
        <w:rPr>
          <w:rFonts w:eastAsia="仿宋_GB2312"/>
          <w:color w:val="000000"/>
          <w:sz w:val="21"/>
          <w:szCs w:val="21"/>
        </w:rPr>
        <w:br w:type="page"/>
      </w:r>
      <w:r>
        <w:rPr>
          <w:rFonts w:eastAsia="仿宋_GB2312"/>
          <w:b/>
          <w:color w:val="000000"/>
          <w:sz w:val="21"/>
          <w:szCs w:val="21"/>
        </w:rPr>
        <w:t>表二</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trPr>
        <w:tc>
          <w:tcPr>
            <w:tcW w:w="8522" w:type="dxa"/>
            <w:shd w:val="clear" w:color="auto" w:fill="FFFFFF" w:themeFill="background1"/>
          </w:tcPr>
          <w:p>
            <w:pPr>
              <w:widowControl w:val="0"/>
              <w:spacing w:before="48" w:beforeLines="20"/>
              <w:ind w:firstLine="0" w:firstLineChars="0"/>
              <w:jc w:val="both"/>
            </w:pPr>
            <w:r>
              <w:rPr>
                <w:rFonts w:hint="eastAsia"/>
                <w:b/>
                <w:bCs/>
              </w:rPr>
              <w:t>2.1、工程建设内容：</w:t>
            </w:r>
            <w:r>
              <w:t xml:space="preserve"> </w:t>
            </w:r>
          </w:p>
          <w:p>
            <w:pPr>
              <w:pStyle w:val="54"/>
              <w:widowControl w:val="0"/>
              <w:autoSpaceDE w:val="0"/>
              <w:autoSpaceDN w:val="0"/>
              <w:spacing w:before="0" w:after="0" w:line="360" w:lineRule="auto"/>
              <w:ind w:left="120" w:leftChars="50" w:right="120" w:rightChars="50" w:firstLine="480" w:firstLineChars="200"/>
              <w:jc w:val="left"/>
              <w:rPr>
                <w:rFonts w:ascii="Times New Roman" w:hAnsi="Times New Roman"/>
                <w:spacing w:val="-5"/>
                <w:sz w:val="24"/>
                <w:szCs w:val="24"/>
                <w:lang w:eastAsia="zh-CN"/>
              </w:rPr>
            </w:pPr>
            <w:r>
              <w:rPr>
                <w:rFonts w:hint="eastAsia" w:asciiTheme="minorEastAsia" w:hAnsiTheme="minorEastAsia" w:eastAsiaTheme="minorEastAsia" w:cstheme="minorEastAsia"/>
                <w:sz w:val="24"/>
                <w:szCs w:val="24"/>
                <w:lang w:eastAsia="zh-CN"/>
              </w:rPr>
              <w:t>安徽灵通清洁能源股份有限公司灵通横港物流园L-CNC油气合建站</w:t>
            </w:r>
            <w:r>
              <w:rPr>
                <w:rFonts w:hint="eastAsia"/>
                <w:bCs/>
                <w:sz w:val="24"/>
                <w:szCs w:val="24"/>
                <w:lang w:eastAsia="zh-CN"/>
              </w:rPr>
              <w:t>项目位于</w:t>
            </w:r>
            <w:r>
              <w:rPr>
                <w:rFonts w:hint="eastAsia"/>
                <w:sz w:val="24"/>
                <w:szCs w:val="24"/>
                <w:lang w:eastAsia="zh-CN"/>
              </w:rPr>
              <w:t>铜陵市铜官大道东侧、横港物流园北侧。</w:t>
            </w:r>
            <w:r>
              <w:rPr>
                <w:rFonts w:hint="eastAsia" w:hAnsi="宋体"/>
                <w:sz w:val="24"/>
                <w:szCs w:val="24"/>
                <w:lang w:eastAsia="zh-CN"/>
              </w:rPr>
              <w:t>项目</w:t>
            </w:r>
            <w:r>
              <w:rPr>
                <w:rFonts w:hint="eastAsia"/>
                <w:sz w:val="24"/>
                <w:szCs w:val="24"/>
                <w:lang w:eastAsia="zh-CN"/>
              </w:rPr>
              <w:t>东面为空地，南面为空地，西面隔铜官大道为铜陵港国际集装箱储运公司，北面为长江外贸码头有限公司。</w:t>
            </w:r>
            <w:r>
              <w:rPr>
                <w:rFonts w:ascii="Times New Roman" w:hAnsi="Times New Roman"/>
                <w:spacing w:val="-5"/>
                <w:sz w:val="24"/>
                <w:szCs w:val="24"/>
                <w:lang w:eastAsia="zh-CN"/>
              </w:rPr>
              <w:t>加油部分：30立方米汽油储罐2台，30立方米柴油储罐2台，总容量120立方米，折合汽油90立方米，双枪双油品潜油泵加油机4台。</w:t>
            </w:r>
          </w:p>
          <w:p>
            <w:pPr>
              <w:pStyle w:val="54"/>
              <w:widowControl w:val="0"/>
              <w:autoSpaceDE w:val="0"/>
              <w:autoSpaceDN w:val="0"/>
              <w:spacing w:before="0" w:after="0" w:line="360" w:lineRule="auto"/>
              <w:ind w:left="120" w:leftChars="50" w:right="120" w:rightChars="50" w:firstLine="460" w:firstLineChars="200"/>
              <w:jc w:val="left"/>
              <w:rPr>
                <w:rFonts w:ascii="Times New Roman" w:hAnsi="Times New Roman"/>
                <w:spacing w:val="-5"/>
                <w:sz w:val="24"/>
                <w:szCs w:val="24"/>
                <w:lang w:eastAsia="zh-CN"/>
              </w:rPr>
            </w:pPr>
            <w:r>
              <w:rPr>
                <w:rFonts w:ascii="Times New Roman" w:hAnsi="Times New Roman"/>
                <w:spacing w:val="-5"/>
                <w:sz w:val="24"/>
                <w:szCs w:val="24"/>
                <w:lang w:eastAsia="zh-CN"/>
              </w:rPr>
              <w:t>加气部分：设半地下LNG低温储罐1台，容积为60立方米，地上CNG储气瓶一组，容积为</w:t>
            </w:r>
            <w:r>
              <w:rPr>
                <w:rFonts w:hint="eastAsia" w:ascii="Times New Roman" w:hAnsi="Times New Roman"/>
                <w:spacing w:val="-5"/>
                <w:sz w:val="24"/>
                <w:szCs w:val="24"/>
                <w:lang w:val="en-US" w:eastAsia="zh-CN"/>
              </w:rPr>
              <w:t>8</w:t>
            </w:r>
            <w:r>
              <w:rPr>
                <w:rFonts w:ascii="Times New Roman" w:hAnsi="Times New Roman"/>
                <w:spacing w:val="-5"/>
                <w:sz w:val="24"/>
                <w:szCs w:val="24"/>
                <w:lang w:eastAsia="zh-CN"/>
              </w:rPr>
              <w:t>立方米及其它配套设备；设双枪CNG加气机</w:t>
            </w:r>
            <w:r>
              <w:rPr>
                <w:rFonts w:hint="eastAsia" w:ascii="Times New Roman" w:hAnsi="Times New Roman"/>
                <w:spacing w:val="-5"/>
                <w:sz w:val="24"/>
                <w:szCs w:val="24"/>
                <w:lang w:val="en-US" w:eastAsia="zh-CN"/>
              </w:rPr>
              <w:t>2</w:t>
            </w:r>
            <w:r>
              <w:rPr>
                <w:rFonts w:ascii="Times New Roman" w:hAnsi="Times New Roman"/>
                <w:spacing w:val="-5"/>
                <w:sz w:val="24"/>
                <w:szCs w:val="24"/>
                <w:lang w:eastAsia="zh-CN"/>
              </w:rPr>
              <w:t>台，设单枪LNG加气机2台；LNG 储罐总容积与油品储罐总容积合计150立方米，属二级加油与 LNG/L-CNG 加气合建站。</w:t>
            </w:r>
          </w:p>
          <w:p>
            <w:pPr>
              <w:widowControl/>
              <w:ind w:firstLine="480"/>
              <w:jc w:val="left"/>
            </w:pPr>
            <w:r>
              <w:rPr>
                <w:rFonts w:hint="eastAsia" w:ascii="宋体" w:hAnsi="宋体"/>
              </w:rPr>
              <w:t>本项目占地</w:t>
            </w:r>
            <w:r>
              <w:rPr>
                <w:rFonts w:hint="eastAsia" w:hAnsi="宋体"/>
              </w:rPr>
              <w:t>11.94亩，总建筑面积775.5</w:t>
            </w:r>
            <w:r>
              <w:rPr>
                <w:lang w:val="zh-CN"/>
              </w:rPr>
              <w:t>m</w:t>
            </w:r>
            <w:r>
              <w:rPr>
                <w:vertAlign w:val="superscript"/>
                <w:lang w:val="zh-CN"/>
              </w:rPr>
              <w:t>2</w:t>
            </w:r>
            <w:r>
              <w:rPr>
                <w:rFonts w:hint="eastAsia" w:hAnsi="宋体"/>
              </w:rPr>
              <w:t>，主要包括站房1栋、加油罩棚、加气罩棚、加油岛、加气岛、储罐区及</w:t>
            </w:r>
            <w:r>
              <w:rPr>
                <w:rFonts w:hint="eastAsia"/>
              </w:rPr>
              <w:t>L-CNG设备区</w:t>
            </w:r>
            <w:r>
              <w:rPr>
                <w:rFonts w:hint="eastAsia" w:hAnsi="宋体"/>
              </w:rPr>
              <w:t>等</w:t>
            </w:r>
            <w:r>
              <w:rPr>
                <w:rFonts w:hint="eastAsia" w:ascii="宋体" w:hAnsi="宋体"/>
              </w:rPr>
              <w:t>。</w:t>
            </w:r>
            <w:r>
              <w:rPr>
                <w:lang w:val="zh-CN"/>
              </w:rPr>
              <w:t>主要工程内容见表1</w:t>
            </w:r>
            <w:r>
              <w:rPr>
                <w:rFonts w:hint="eastAsia" w:ascii="宋体" w:hAnsi="宋体"/>
              </w:rPr>
              <w:t>。</w:t>
            </w:r>
          </w:p>
          <w:p>
            <w:pPr>
              <w:widowControl/>
              <w:ind w:firstLine="0" w:firstLineChars="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2.2、项目主要工程建设内容</w:t>
            </w:r>
          </w:p>
          <w:p>
            <w:pPr>
              <w:pStyle w:val="28"/>
              <w:widowControl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表2-1项目主要工程建设内容一览表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709"/>
              <w:gridCol w:w="1417"/>
              <w:gridCol w:w="425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pPr>
                    <w:pStyle w:val="11"/>
                    <w:widowControl w:val="0"/>
                    <w:spacing w:line="240" w:lineRule="auto"/>
                    <w:ind w:left="0" w:firstLine="0" w:firstLineChars="0"/>
                    <w:jc w:val="both"/>
                    <w:rPr>
                      <w:rFonts w:ascii="Times New Roman"/>
                      <w:b/>
                      <w:bCs/>
                      <w:sz w:val="21"/>
                      <w:szCs w:val="21"/>
                    </w:rPr>
                  </w:pPr>
                  <w:r>
                    <w:rPr>
                      <w:rFonts w:ascii="Times New Roman"/>
                      <w:b/>
                      <w:bCs/>
                      <w:sz w:val="21"/>
                      <w:szCs w:val="21"/>
                    </w:rPr>
                    <w:t>序号</w:t>
                  </w:r>
                </w:p>
              </w:tc>
              <w:tc>
                <w:tcPr>
                  <w:tcW w:w="709" w:type="dxa"/>
                  <w:vAlign w:val="center"/>
                </w:tcPr>
                <w:p>
                  <w:pPr>
                    <w:pStyle w:val="11"/>
                    <w:widowControl w:val="0"/>
                    <w:spacing w:line="240" w:lineRule="auto"/>
                    <w:ind w:left="17" w:leftChars="7" w:right="120" w:rightChars="50" w:firstLine="0" w:firstLineChars="0"/>
                    <w:jc w:val="both"/>
                    <w:rPr>
                      <w:rFonts w:ascii="Times New Roman"/>
                      <w:b/>
                      <w:bCs/>
                      <w:sz w:val="21"/>
                      <w:szCs w:val="21"/>
                    </w:rPr>
                  </w:pPr>
                  <w:r>
                    <w:rPr>
                      <w:rFonts w:ascii="Times New Roman"/>
                      <w:b/>
                      <w:bCs/>
                      <w:sz w:val="21"/>
                      <w:szCs w:val="21"/>
                    </w:rPr>
                    <w:t>类别</w:t>
                  </w:r>
                </w:p>
              </w:tc>
              <w:tc>
                <w:tcPr>
                  <w:tcW w:w="1417" w:type="dxa"/>
                  <w:vAlign w:val="center"/>
                </w:tcPr>
                <w:p>
                  <w:pPr>
                    <w:pStyle w:val="11"/>
                    <w:widowControl w:val="0"/>
                    <w:spacing w:line="240" w:lineRule="auto"/>
                    <w:ind w:left="12" w:leftChars="5" w:right="120" w:rightChars="50" w:firstLine="0" w:firstLineChars="0"/>
                    <w:jc w:val="both"/>
                    <w:rPr>
                      <w:rFonts w:ascii="Times New Roman"/>
                      <w:b/>
                      <w:bCs/>
                      <w:sz w:val="21"/>
                      <w:szCs w:val="21"/>
                    </w:rPr>
                  </w:pPr>
                  <w:r>
                    <w:rPr>
                      <w:rFonts w:hint="eastAsia" w:ascii="Times New Roman"/>
                      <w:b/>
                      <w:bCs/>
                      <w:sz w:val="21"/>
                      <w:szCs w:val="21"/>
                    </w:rPr>
                    <w:t>单项工程</w:t>
                  </w:r>
                  <w:r>
                    <w:rPr>
                      <w:rFonts w:ascii="Times New Roman"/>
                      <w:b/>
                      <w:bCs/>
                      <w:sz w:val="21"/>
                      <w:szCs w:val="21"/>
                    </w:rPr>
                    <w:t>名称</w:t>
                  </w:r>
                </w:p>
              </w:tc>
              <w:tc>
                <w:tcPr>
                  <w:tcW w:w="4253" w:type="dxa"/>
                  <w:vAlign w:val="center"/>
                </w:tcPr>
                <w:p>
                  <w:pPr>
                    <w:pStyle w:val="11"/>
                    <w:widowControl w:val="0"/>
                    <w:spacing w:line="240" w:lineRule="auto"/>
                    <w:ind w:left="120" w:leftChars="50" w:right="120" w:rightChars="50" w:firstLine="30" w:firstLineChars="14"/>
                    <w:jc w:val="both"/>
                    <w:rPr>
                      <w:rFonts w:ascii="Times New Roman"/>
                      <w:b/>
                      <w:bCs/>
                      <w:sz w:val="21"/>
                      <w:szCs w:val="21"/>
                    </w:rPr>
                  </w:pPr>
                  <w:r>
                    <w:rPr>
                      <w:rFonts w:ascii="Times New Roman"/>
                      <w:b/>
                      <w:bCs/>
                      <w:sz w:val="21"/>
                      <w:szCs w:val="21"/>
                    </w:rPr>
                    <w:t>工程内容及规模</w:t>
                  </w:r>
                  <w:r>
                    <w:rPr>
                      <w:rFonts w:hint="eastAsia" w:ascii="Times New Roman"/>
                      <w:b/>
                      <w:bCs/>
                      <w:sz w:val="21"/>
                      <w:szCs w:val="21"/>
                    </w:rPr>
                    <w:t>（环评设计）</w:t>
                  </w:r>
                </w:p>
              </w:tc>
              <w:tc>
                <w:tcPr>
                  <w:tcW w:w="1323" w:type="dxa"/>
                </w:tcPr>
                <w:p>
                  <w:pPr>
                    <w:pStyle w:val="28"/>
                    <w:widowControl w:val="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实际建设状况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tcPr>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1</w:t>
                  </w:r>
                </w:p>
              </w:tc>
              <w:tc>
                <w:tcPr>
                  <w:tcW w:w="709" w:type="dxa"/>
                  <w:vMerge w:val="restart"/>
                </w:tcPr>
                <w:p>
                  <w:pPr>
                    <w:pStyle w:val="28"/>
                    <w:widowControl w:val="0"/>
                    <w:rPr>
                      <w:rFonts w:asciiTheme="minorEastAsia" w:hAnsiTheme="minorEastAsia" w:eastAsiaTheme="minorEastAsia" w:cstheme="minorEastAsia"/>
                      <w:b/>
                      <w:bCs/>
                    </w:rPr>
                  </w:pPr>
                </w:p>
                <w:p>
                  <w:pPr>
                    <w:pStyle w:val="28"/>
                    <w:widowControl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主体</w:t>
                  </w:r>
                </w:p>
                <w:p>
                  <w:pPr>
                    <w:pStyle w:val="28"/>
                    <w:widowControl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工程</w:t>
                  </w:r>
                </w:p>
              </w:tc>
              <w:tc>
                <w:tcPr>
                  <w:tcW w:w="1417" w:type="dxa"/>
                  <w:vAlign w:val="center"/>
                </w:tcPr>
                <w:p>
                  <w:pPr>
                    <w:pStyle w:val="11"/>
                    <w:widowControl w:val="0"/>
                    <w:spacing w:line="240" w:lineRule="auto"/>
                    <w:ind w:left="40" w:hanging="39" w:hangingChars="19"/>
                    <w:jc w:val="both"/>
                    <w:rPr>
                      <w:rFonts w:ascii="Times New Roman"/>
                      <w:sz w:val="21"/>
                      <w:szCs w:val="21"/>
                    </w:rPr>
                  </w:pPr>
                  <w:r>
                    <w:rPr>
                      <w:rFonts w:hint="eastAsia"/>
                      <w:sz w:val="21"/>
                      <w:szCs w:val="21"/>
                    </w:rPr>
                    <w:t>站房</w:t>
                  </w:r>
                </w:p>
              </w:tc>
              <w:tc>
                <w:tcPr>
                  <w:tcW w:w="4253" w:type="dxa"/>
                  <w:vAlign w:val="center"/>
                </w:tcPr>
                <w:p>
                  <w:pPr>
                    <w:widowControl w:val="0"/>
                    <w:spacing w:line="240" w:lineRule="auto"/>
                    <w:ind w:firstLine="420"/>
                    <w:jc w:val="both"/>
                    <w:rPr>
                      <w:sz w:val="21"/>
                      <w:szCs w:val="21"/>
                    </w:rPr>
                  </w:pPr>
                  <w:r>
                    <w:rPr>
                      <w:rFonts w:hint="eastAsia"/>
                      <w:sz w:val="21"/>
                      <w:szCs w:val="21"/>
                    </w:rPr>
                    <w:t>2层，建筑面积264</w:t>
                  </w:r>
                  <w:r>
                    <w:rPr>
                      <w:sz w:val="21"/>
                      <w:szCs w:val="21"/>
                      <w:lang w:val="zh-CN"/>
                    </w:rPr>
                    <w:t>m</w:t>
                  </w:r>
                  <w:r>
                    <w:rPr>
                      <w:sz w:val="21"/>
                      <w:szCs w:val="21"/>
                      <w:vertAlign w:val="superscript"/>
                      <w:lang w:val="zh-CN"/>
                    </w:rPr>
                    <w:t>2</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1"/>
                    <w:widowControl w:val="0"/>
                    <w:spacing w:line="240" w:lineRule="auto"/>
                    <w:ind w:left="40" w:hanging="39" w:hangingChars="19"/>
                    <w:jc w:val="both"/>
                    <w:rPr>
                      <w:sz w:val="21"/>
                      <w:szCs w:val="21"/>
                    </w:rPr>
                  </w:pPr>
                  <w:r>
                    <w:rPr>
                      <w:rFonts w:hint="eastAsia"/>
                      <w:bCs/>
                      <w:sz w:val="21"/>
                      <w:szCs w:val="21"/>
                    </w:rPr>
                    <w:t>加油岛</w:t>
                  </w:r>
                </w:p>
              </w:tc>
              <w:tc>
                <w:tcPr>
                  <w:tcW w:w="4253" w:type="dxa"/>
                  <w:vAlign w:val="center"/>
                </w:tcPr>
                <w:p>
                  <w:pPr>
                    <w:widowControl w:val="0"/>
                    <w:spacing w:line="240" w:lineRule="auto"/>
                    <w:ind w:firstLine="0" w:firstLineChars="0"/>
                    <w:jc w:val="both"/>
                    <w:rPr>
                      <w:sz w:val="21"/>
                      <w:szCs w:val="21"/>
                    </w:rPr>
                  </w:pPr>
                  <w:r>
                    <w:rPr>
                      <w:rFonts w:hint="eastAsia"/>
                      <w:sz w:val="21"/>
                      <w:szCs w:val="21"/>
                    </w:rPr>
                    <w:t>罩棚：钢架结构，建筑面积</w:t>
                  </w:r>
                  <w:r>
                    <w:rPr>
                      <w:rFonts w:hint="eastAsia" w:hAnsi="宋体"/>
                      <w:sz w:val="21"/>
                      <w:szCs w:val="21"/>
                    </w:rPr>
                    <w:t>247.5</w:t>
                  </w:r>
                  <w:r>
                    <w:rPr>
                      <w:sz w:val="21"/>
                      <w:szCs w:val="21"/>
                      <w:lang w:val="zh-CN"/>
                    </w:rPr>
                    <w:t>m</w:t>
                  </w:r>
                  <w:r>
                    <w:rPr>
                      <w:sz w:val="21"/>
                      <w:szCs w:val="21"/>
                      <w:vertAlign w:val="superscript"/>
                      <w:lang w:val="zh-CN"/>
                    </w:rPr>
                    <w:t>2</w:t>
                  </w:r>
                  <w:r>
                    <w:rPr>
                      <w:rFonts w:hint="eastAsia"/>
                      <w:sz w:val="21"/>
                      <w:szCs w:val="21"/>
                    </w:rPr>
                    <w:t>；设有4台双枪双油品潜油泵加油机</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1"/>
                    <w:widowControl w:val="0"/>
                    <w:spacing w:line="240" w:lineRule="auto"/>
                    <w:ind w:left="40" w:hanging="39" w:hangingChars="19"/>
                    <w:jc w:val="both"/>
                    <w:rPr>
                      <w:bCs/>
                      <w:sz w:val="21"/>
                      <w:szCs w:val="21"/>
                    </w:rPr>
                  </w:pPr>
                  <w:r>
                    <w:rPr>
                      <w:rFonts w:hint="eastAsia"/>
                      <w:bCs/>
                      <w:sz w:val="21"/>
                      <w:szCs w:val="21"/>
                    </w:rPr>
                    <w:t>加气岛</w:t>
                  </w:r>
                </w:p>
              </w:tc>
              <w:tc>
                <w:tcPr>
                  <w:tcW w:w="4253" w:type="dxa"/>
                  <w:vAlign w:val="center"/>
                </w:tcPr>
                <w:p>
                  <w:pPr>
                    <w:widowControl w:val="0"/>
                    <w:spacing w:line="240" w:lineRule="auto"/>
                    <w:ind w:firstLine="0" w:firstLineChars="0"/>
                    <w:jc w:val="both"/>
                    <w:rPr>
                      <w:sz w:val="21"/>
                      <w:szCs w:val="21"/>
                    </w:rPr>
                  </w:pPr>
                  <w:r>
                    <w:rPr>
                      <w:rFonts w:hint="eastAsia"/>
                      <w:sz w:val="21"/>
                      <w:szCs w:val="21"/>
                    </w:rPr>
                    <w:t>罩棚：钢架结构，建筑面积</w:t>
                  </w:r>
                  <w:r>
                    <w:rPr>
                      <w:rFonts w:hint="eastAsia" w:hAnsi="宋体"/>
                      <w:sz w:val="21"/>
                      <w:szCs w:val="21"/>
                    </w:rPr>
                    <w:t>264</w:t>
                  </w:r>
                  <w:r>
                    <w:rPr>
                      <w:sz w:val="21"/>
                      <w:szCs w:val="21"/>
                      <w:lang w:val="zh-CN"/>
                    </w:rPr>
                    <w:t>m</w:t>
                  </w:r>
                  <w:r>
                    <w:rPr>
                      <w:sz w:val="21"/>
                      <w:szCs w:val="21"/>
                      <w:vertAlign w:val="superscript"/>
                      <w:lang w:val="zh-CN"/>
                    </w:rPr>
                    <w:t>2</w:t>
                  </w:r>
                  <w:r>
                    <w:rPr>
                      <w:rFonts w:hint="eastAsia"/>
                      <w:sz w:val="21"/>
                      <w:szCs w:val="21"/>
                      <w:lang w:val="zh-CN"/>
                    </w:rPr>
                    <w:t>；</w:t>
                  </w:r>
                  <w:r>
                    <w:rPr>
                      <w:rFonts w:hint="eastAsia"/>
                      <w:sz w:val="21"/>
                      <w:szCs w:val="21"/>
                    </w:rPr>
                    <w:t>设有2台双枪CNG加气机，2台单枪LNG加气机</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tcPr>
                <w:p>
                  <w:pPr>
                    <w:pStyle w:val="28"/>
                    <w:widowControl w:val="0"/>
                    <w:jc w:val="left"/>
                    <w:rPr>
                      <w:rFonts w:asciiTheme="minorEastAsia" w:hAnsiTheme="minorEastAsia" w:eastAsiaTheme="minorEastAsia" w:cstheme="minorEastAsia"/>
                      <w:b/>
                      <w:bCs/>
                    </w:rPr>
                  </w:pPr>
                </w:p>
              </w:tc>
              <w:tc>
                <w:tcPr>
                  <w:tcW w:w="709" w:type="dxa"/>
                  <w:vMerge w:val="restart"/>
                </w:tcPr>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辅助工程</w:t>
                  </w:r>
                </w:p>
              </w:tc>
              <w:tc>
                <w:tcPr>
                  <w:tcW w:w="1417" w:type="dxa"/>
                  <w:vAlign w:val="center"/>
                </w:tcPr>
                <w:p>
                  <w:pPr>
                    <w:pStyle w:val="11"/>
                    <w:widowControl w:val="0"/>
                    <w:spacing w:line="240" w:lineRule="auto"/>
                    <w:ind w:left="40" w:hanging="39" w:hangingChars="19"/>
                    <w:jc w:val="both"/>
                    <w:rPr>
                      <w:rFonts w:ascii="Times New Roman"/>
                      <w:sz w:val="21"/>
                      <w:szCs w:val="21"/>
                    </w:rPr>
                  </w:pPr>
                  <w:r>
                    <w:rPr>
                      <w:rFonts w:hint="eastAsia" w:ascii="Times New Roman"/>
                      <w:sz w:val="21"/>
                      <w:szCs w:val="21"/>
                    </w:rPr>
                    <w:t>消防工程</w:t>
                  </w:r>
                </w:p>
              </w:tc>
              <w:tc>
                <w:tcPr>
                  <w:tcW w:w="4253" w:type="dxa"/>
                  <w:vAlign w:val="center"/>
                </w:tcPr>
                <w:p>
                  <w:pPr>
                    <w:pStyle w:val="11"/>
                    <w:widowControl w:val="0"/>
                    <w:spacing w:line="240" w:lineRule="auto"/>
                    <w:ind w:left="0" w:right="120" w:rightChars="50" w:firstLine="0" w:firstLineChars="0"/>
                    <w:jc w:val="both"/>
                    <w:rPr>
                      <w:rFonts w:ascii="Times New Roman"/>
                      <w:sz w:val="21"/>
                      <w:szCs w:val="21"/>
                    </w:rPr>
                  </w:pPr>
                  <w:r>
                    <w:rPr>
                      <w:rFonts w:hint="eastAsia" w:ascii="Times New Roman"/>
                      <w:sz w:val="21"/>
                      <w:szCs w:val="21"/>
                    </w:rPr>
                    <w:t>设置室外消火栓、室内灭火器、消防柜（附泡沫灭火器、灭火毯、消防铁桶、水带等）、消防沙池；油罐区、</w:t>
                  </w:r>
                  <w:r>
                    <w:rPr>
                      <w:rFonts w:ascii="Times New Roman"/>
                      <w:sz w:val="21"/>
                      <w:szCs w:val="21"/>
                    </w:rPr>
                    <w:t>LNG储罐及CNG储气瓶组</w:t>
                  </w:r>
                  <w:r>
                    <w:rPr>
                      <w:rFonts w:hint="eastAsia" w:ascii="Times New Roman"/>
                      <w:sz w:val="21"/>
                      <w:szCs w:val="21"/>
                    </w:rPr>
                    <w:t>附近配备推车式干粉灭火器等</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1"/>
                    <w:widowControl w:val="0"/>
                    <w:spacing w:line="240" w:lineRule="auto"/>
                    <w:ind w:left="40" w:hanging="39" w:hangingChars="19"/>
                    <w:jc w:val="both"/>
                    <w:rPr>
                      <w:rFonts w:ascii="Times New Roman"/>
                      <w:sz w:val="21"/>
                      <w:szCs w:val="21"/>
                    </w:rPr>
                  </w:pPr>
                  <w:r>
                    <w:rPr>
                      <w:rFonts w:hint="eastAsia" w:ascii="Times New Roman"/>
                      <w:sz w:val="21"/>
                      <w:szCs w:val="21"/>
                    </w:rPr>
                    <w:t>围墙</w:t>
                  </w:r>
                </w:p>
              </w:tc>
              <w:tc>
                <w:tcPr>
                  <w:tcW w:w="4253" w:type="dxa"/>
                  <w:vAlign w:val="center"/>
                </w:tcPr>
                <w:p>
                  <w:pPr>
                    <w:pStyle w:val="11"/>
                    <w:widowControl w:val="0"/>
                    <w:spacing w:line="240" w:lineRule="auto"/>
                    <w:ind w:right="120" w:rightChars="50" w:firstLine="0" w:firstLineChars="0"/>
                    <w:jc w:val="both"/>
                    <w:rPr>
                      <w:rFonts w:ascii="Times New Roman"/>
                      <w:sz w:val="21"/>
                      <w:szCs w:val="21"/>
                    </w:rPr>
                  </w:pPr>
                  <w:r>
                    <w:rPr>
                      <w:rFonts w:hint="eastAsia" w:ascii="Times New Roman"/>
                      <w:sz w:val="21"/>
                      <w:szCs w:val="21"/>
                    </w:rPr>
                    <w:t>除项目西面面向进、出口的一侧外，其余边界均设置高2.2m的防火墙</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tcPr>
                <w:p>
                  <w:pPr>
                    <w:pStyle w:val="28"/>
                    <w:widowControl w:val="0"/>
                    <w:jc w:val="left"/>
                    <w:rPr>
                      <w:rFonts w:asciiTheme="minorEastAsia" w:hAnsiTheme="minorEastAsia" w:eastAsiaTheme="minorEastAsia" w:cstheme="minorEastAsia"/>
                      <w:b/>
                      <w:bCs/>
                    </w:rPr>
                  </w:pPr>
                </w:p>
              </w:tc>
              <w:tc>
                <w:tcPr>
                  <w:tcW w:w="709" w:type="dxa"/>
                  <w:vMerge w:val="restart"/>
                </w:tcPr>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储运工程</w:t>
                  </w:r>
                </w:p>
              </w:tc>
              <w:tc>
                <w:tcPr>
                  <w:tcW w:w="1417" w:type="dxa"/>
                  <w:vAlign w:val="center"/>
                </w:tcPr>
                <w:p>
                  <w:pPr>
                    <w:pStyle w:val="11"/>
                    <w:widowControl w:val="0"/>
                    <w:spacing w:line="240" w:lineRule="auto"/>
                    <w:ind w:left="40" w:hanging="39" w:hangingChars="19"/>
                    <w:jc w:val="both"/>
                    <w:rPr>
                      <w:rFonts w:ascii="Times New Roman"/>
                      <w:sz w:val="21"/>
                      <w:szCs w:val="21"/>
                    </w:rPr>
                  </w:pPr>
                  <w:r>
                    <w:rPr>
                      <w:rFonts w:hint="eastAsia"/>
                      <w:bCs/>
                      <w:sz w:val="21"/>
                      <w:szCs w:val="21"/>
                    </w:rPr>
                    <w:t>埋地油罐区</w:t>
                  </w:r>
                </w:p>
              </w:tc>
              <w:tc>
                <w:tcPr>
                  <w:tcW w:w="4253" w:type="dxa"/>
                  <w:vAlign w:val="center"/>
                </w:tcPr>
                <w:p>
                  <w:pPr>
                    <w:widowControl w:val="0"/>
                    <w:spacing w:line="240" w:lineRule="auto"/>
                    <w:ind w:firstLine="0" w:firstLineChars="0"/>
                    <w:jc w:val="both"/>
                    <w:rPr>
                      <w:sz w:val="21"/>
                      <w:szCs w:val="21"/>
                    </w:rPr>
                  </w:pPr>
                  <w:r>
                    <w:rPr>
                      <w:rFonts w:hint="eastAsia"/>
                      <w:sz w:val="21"/>
                      <w:szCs w:val="21"/>
                    </w:rPr>
                    <w:t>30</w:t>
                  </w:r>
                  <w:r>
                    <w:rPr>
                      <w:rFonts w:hint="eastAsia"/>
                      <w:sz w:val="21"/>
                      <w:szCs w:val="21"/>
                      <w:lang w:val="zh-CN"/>
                    </w:rPr>
                    <w:t>m</w:t>
                  </w:r>
                  <w:r>
                    <w:rPr>
                      <w:rFonts w:hint="eastAsia"/>
                      <w:sz w:val="21"/>
                      <w:szCs w:val="21"/>
                      <w:vertAlign w:val="superscript"/>
                    </w:rPr>
                    <w:t>3</w:t>
                  </w:r>
                  <w:r>
                    <w:rPr>
                      <w:rFonts w:hint="eastAsia"/>
                      <w:sz w:val="21"/>
                      <w:szCs w:val="21"/>
                    </w:rPr>
                    <w:t>汽油储罐2个；30</w:t>
                  </w:r>
                  <w:r>
                    <w:rPr>
                      <w:rFonts w:hint="eastAsia"/>
                      <w:sz w:val="21"/>
                      <w:szCs w:val="21"/>
                      <w:lang w:val="zh-CN"/>
                    </w:rPr>
                    <w:t>m</w:t>
                  </w:r>
                  <w:r>
                    <w:rPr>
                      <w:rFonts w:hint="eastAsia"/>
                      <w:sz w:val="21"/>
                      <w:szCs w:val="21"/>
                      <w:vertAlign w:val="superscript"/>
                    </w:rPr>
                    <w:t>3</w:t>
                  </w:r>
                  <w:r>
                    <w:rPr>
                      <w:rFonts w:hint="eastAsia"/>
                      <w:sz w:val="21"/>
                      <w:szCs w:val="21"/>
                    </w:rPr>
                    <w:t>柴油储罐2个。</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1"/>
                    <w:widowControl w:val="0"/>
                    <w:spacing w:line="240" w:lineRule="auto"/>
                    <w:ind w:left="40" w:hanging="39" w:hangingChars="19"/>
                    <w:jc w:val="both"/>
                    <w:rPr>
                      <w:bCs/>
                      <w:sz w:val="21"/>
                      <w:szCs w:val="21"/>
                    </w:rPr>
                  </w:pPr>
                  <w:r>
                    <w:rPr>
                      <w:rFonts w:ascii="Times New Roman"/>
                      <w:bCs/>
                      <w:sz w:val="21"/>
                      <w:szCs w:val="21"/>
                    </w:rPr>
                    <w:t>L-CN</w:t>
                  </w:r>
                  <w:r>
                    <w:rPr>
                      <w:rFonts w:hint="eastAsia"/>
                      <w:bCs/>
                      <w:sz w:val="21"/>
                      <w:szCs w:val="21"/>
                    </w:rPr>
                    <w:t>设备区</w:t>
                  </w:r>
                </w:p>
              </w:tc>
              <w:tc>
                <w:tcPr>
                  <w:tcW w:w="4253" w:type="dxa"/>
                  <w:vAlign w:val="center"/>
                </w:tcPr>
                <w:p>
                  <w:pPr>
                    <w:widowControl w:val="0"/>
                    <w:spacing w:line="240" w:lineRule="auto"/>
                    <w:ind w:firstLine="0" w:firstLineChars="0"/>
                    <w:jc w:val="both"/>
                    <w:rPr>
                      <w:sz w:val="21"/>
                      <w:szCs w:val="21"/>
                    </w:rPr>
                  </w:pPr>
                  <w:r>
                    <w:rPr>
                      <w:rFonts w:hint="eastAsia"/>
                      <w:sz w:val="21"/>
                      <w:szCs w:val="21"/>
                    </w:rPr>
                    <w:t>60</w:t>
                  </w:r>
                  <w:r>
                    <w:rPr>
                      <w:rFonts w:hint="eastAsia"/>
                      <w:sz w:val="21"/>
                      <w:szCs w:val="21"/>
                      <w:lang w:val="zh-CN"/>
                    </w:rPr>
                    <w:t>m</w:t>
                  </w:r>
                  <w:r>
                    <w:rPr>
                      <w:rFonts w:hint="eastAsia"/>
                      <w:sz w:val="21"/>
                      <w:szCs w:val="21"/>
                      <w:vertAlign w:val="superscript"/>
                    </w:rPr>
                    <w:t>3</w:t>
                  </w:r>
                  <w:r>
                    <w:rPr>
                      <w:bCs/>
                      <w:sz w:val="21"/>
                      <w:szCs w:val="21"/>
                    </w:rPr>
                    <w:t xml:space="preserve"> 半地下LNG 低温储罐1台</w:t>
                  </w:r>
                  <w:r>
                    <w:rPr>
                      <w:rFonts w:hint="eastAsia"/>
                      <w:bCs/>
                      <w:sz w:val="21"/>
                      <w:szCs w:val="21"/>
                    </w:rPr>
                    <w:t>，</w:t>
                  </w:r>
                  <w:r>
                    <w:rPr>
                      <w:rFonts w:hint="eastAsia"/>
                      <w:sz w:val="21"/>
                      <w:szCs w:val="21"/>
                    </w:rPr>
                    <w:t xml:space="preserve"> 8</w:t>
                  </w:r>
                  <w:r>
                    <w:rPr>
                      <w:rFonts w:hint="eastAsia"/>
                      <w:sz w:val="21"/>
                      <w:szCs w:val="21"/>
                      <w:lang w:val="zh-CN"/>
                    </w:rPr>
                    <w:t>m</w:t>
                  </w:r>
                  <w:r>
                    <w:rPr>
                      <w:rFonts w:hint="eastAsia"/>
                      <w:sz w:val="21"/>
                      <w:szCs w:val="21"/>
                      <w:vertAlign w:val="superscript"/>
                    </w:rPr>
                    <w:t>3</w:t>
                  </w:r>
                  <w:r>
                    <w:rPr>
                      <w:bCs/>
                      <w:sz w:val="21"/>
                      <w:szCs w:val="21"/>
                    </w:rPr>
                    <w:t xml:space="preserve"> 地上CNG 储气瓶</w:t>
                  </w:r>
                  <w:r>
                    <w:rPr>
                      <w:rFonts w:hint="eastAsia"/>
                      <w:bCs/>
                      <w:sz w:val="21"/>
                      <w:szCs w:val="21"/>
                    </w:rPr>
                    <w:t>1</w:t>
                  </w:r>
                  <w:r>
                    <w:rPr>
                      <w:bCs/>
                      <w:sz w:val="21"/>
                      <w:szCs w:val="21"/>
                    </w:rPr>
                    <w:t>组</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tcPr>
                <w:p>
                  <w:pPr>
                    <w:pStyle w:val="28"/>
                    <w:widowControl w:val="0"/>
                    <w:jc w:val="left"/>
                    <w:rPr>
                      <w:rFonts w:asciiTheme="minorEastAsia" w:hAnsiTheme="minorEastAsia" w:eastAsiaTheme="minorEastAsia" w:cstheme="minorEastAsia"/>
                      <w:b/>
                      <w:bCs/>
                    </w:rPr>
                  </w:pPr>
                </w:p>
              </w:tc>
              <w:tc>
                <w:tcPr>
                  <w:tcW w:w="709" w:type="dxa"/>
                  <w:vMerge w:val="restart"/>
                </w:tcPr>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公用工程</w:t>
                  </w:r>
                </w:p>
              </w:tc>
              <w:tc>
                <w:tcPr>
                  <w:tcW w:w="1417" w:type="dxa"/>
                  <w:vAlign w:val="center"/>
                </w:tcPr>
                <w:p>
                  <w:pPr>
                    <w:pStyle w:val="19"/>
                    <w:widowControl w:val="0"/>
                    <w:spacing w:before="0" w:beforeAutospacing="0" w:after="0" w:afterAutospacing="0" w:line="240" w:lineRule="auto"/>
                    <w:ind w:left="40" w:hanging="39" w:hangingChars="19"/>
                    <w:jc w:val="both"/>
                    <w:rPr>
                      <w:rFonts w:ascii="Times New Roman" w:hAnsi="Times New Roman"/>
                      <w:sz w:val="21"/>
                      <w:szCs w:val="21"/>
                    </w:rPr>
                  </w:pPr>
                  <w:r>
                    <w:rPr>
                      <w:rFonts w:ascii="Times New Roman" w:hAnsi="Times New Roman"/>
                      <w:sz w:val="21"/>
                      <w:szCs w:val="21"/>
                    </w:rPr>
                    <w:t>供电</w:t>
                  </w:r>
                </w:p>
              </w:tc>
              <w:tc>
                <w:tcPr>
                  <w:tcW w:w="4253" w:type="dxa"/>
                  <w:vAlign w:val="center"/>
                </w:tcPr>
                <w:p>
                  <w:pPr>
                    <w:widowControl w:val="0"/>
                    <w:tabs>
                      <w:tab w:val="left" w:pos="210"/>
                    </w:tabs>
                    <w:spacing w:line="240" w:lineRule="auto"/>
                    <w:ind w:firstLine="420"/>
                    <w:jc w:val="both"/>
                    <w:rPr>
                      <w:bCs/>
                      <w:sz w:val="21"/>
                      <w:szCs w:val="21"/>
                    </w:rPr>
                  </w:pPr>
                  <w:r>
                    <w:rPr>
                      <w:sz w:val="21"/>
                      <w:szCs w:val="21"/>
                    </w:rPr>
                    <w:t>电源引自</w:t>
                  </w:r>
                  <w:r>
                    <w:rPr>
                      <w:rFonts w:hint="eastAsia"/>
                      <w:sz w:val="21"/>
                      <w:szCs w:val="21"/>
                    </w:rPr>
                    <w:t>铜陵市</w:t>
                  </w:r>
                  <w:r>
                    <w:rPr>
                      <w:sz w:val="21"/>
                      <w:szCs w:val="21"/>
                    </w:rPr>
                    <w:t>电网</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9"/>
                    <w:widowControl w:val="0"/>
                    <w:spacing w:before="0" w:beforeAutospacing="0" w:after="0" w:afterAutospacing="0" w:line="240" w:lineRule="auto"/>
                    <w:ind w:left="40" w:hanging="39" w:hangingChars="19"/>
                    <w:jc w:val="both"/>
                    <w:rPr>
                      <w:rFonts w:ascii="Times New Roman" w:hAnsi="Times New Roman"/>
                      <w:sz w:val="21"/>
                      <w:szCs w:val="21"/>
                    </w:rPr>
                  </w:pPr>
                  <w:r>
                    <w:rPr>
                      <w:rFonts w:ascii="Times New Roman" w:hAnsi="Times New Roman"/>
                      <w:sz w:val="21"/>
                      <w:szCs w:val="21"/>
                    </w:rPr>
                    <w:t>给水</w:t>
                  </w:r>
                </w:p>
              </w:tc>
              <w:tc>
                <w:tcPr>
                  <w:tcW w:w="4253" w:type="dxa"/>
                  <w:vAlign w:val="center"/>
                </w:tcPr>
                <w:p>
                  <w:pPr>
                    <w:widowControl w:val="0"/>
                    <w:tabs>
                      <w:tab w:val="left" w:pos="210"/>
                    </w:tabs>
                    <w:spacing w:line="240" w:lineRule="auto"/>
                    <w:ind w:firstLine="0" w:firstLineChars="0"/>
                    <w:jc w:val="both"/>
                    <w:rPr>
                      <w:sz w:val="21"/>
                      <w:szCs w:val="21"/>
                    </w:rPr>
                  </w:pPr>
                  <w:r>
                    <w:rPr>
                      <w:rFonts w:hint="eastAsia"/>
                      <w:sz w:val="21"/>
                      <w:szCs w:val="21"/>
                    </w:rPr>
                    <w:t xml:space="preserve"> 供水由铜陵市政自来水管网供给</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9"/>
                    <w:widowControl w:val="0"/>
                    <w:spacing w:before="0" w:beforeAutospacing="0" w:after="0" w:afterAutospacing="0" w:line="240" w:lineRule="auto"/>
                    <w:ind w:left="40" w:hanging="39" w:hangingChars="19"/>
                    <w:jc w:val="both"/>
                    <w:rPr>
                      <w:rFonts w:ascii="Times New Roman" w:hAnsi="Times New Roman"/>
                      <w:sz w:val="21"/>
                      <w:szCs w:val="21"/>
                    </w:rPr>
                  </w:pPr>
                  <w:r>
                    <w:rPr>
                      <w:rFonts w:hint="eastAsia" w:ascii="Times New Roman" w:hAnsi="Times New Roman"/>
                      <w:sz w:val="21"/>
                      <w:szCs w:val="21"/>
                    </w:rPr>
                    <w:t>排水</w:t>
                  </w:r>
                </w:p>
              </w:tc>
              <w:tc>
                <w:tcPr>
                  <w:tcW w:w="4253" w:type="dxa"/>
                  <w:vAlign w:val="center"/>
                </w:tcPr>
                <w:p>
                  <w:pPr>
                    <w:widowControl w:val="0"/>
                    <w:tabs>
                      <w:tab w:val="left" w:pos="210"/>
                    </w:tabs>
                    <w:adjustRightInd/>
                    <w:snapToGrid/>
                    <w:spacing w:line="240" w:lineRule="auto"/>
                    <w:ind w:firstLine="0" w:firstLineChars="0"/>
                    <w:jc w:val="both"/>
                    <w:rPr>
                      <w:bCs/>
                      <w:szCs w:val="21"/>
                    </w:rPr>
                  </w:pPr>
                  <w:r>
                    <w:rPr>
                      <w:sz w:val="21"/>
                      <w:szCs w:val="21"/>
                    </w:rPr>
                    <w:t>排水采用雨、污分流制，</w:t>
                  </w:r>
                  <w:r>
                    <w:rPr>
                      <w:rFonts w:hint="eastAsia"/>
                      <w:bCs/>
                      <w:szCs w:val="21"/>
                    </w:rPr>
                    <w:t>冲洗废水及生活污水经</w:t>
                  </w:r>
                  <w:r>
                    <w:rPr>
                      <w:rFonts w:hint="eastAsia"/>
                      <w:sz w:val="21"/>
                      <w:szCs w:val="21"/>
                    </w:rPr>
                    <w:t>隔油池</w:t>
                  </w:r>
                  <w:r>
                    <w:rPr>
                      <w:rFonts w:hint="eastAsia"/>
                      <w:bCs/>
                      <w:szCs w:val="21"/>
                    </w:rPr>
                    <w:t>、化粪池处理后</w:t>
                  </w:r>
                  <w:r>
                    <w:rPr>
                      <w:rFonts w:hint="eastAsia"/>
                      <w:bCs/>
                      <w:sz w:val="21"/>
                      <w:szCs w:val="21"/>
                    </w:rPr>
                    <w:t>进入</w:t>
                  </w:r>
                  <w:r>
                    <w:rPr>
                      <w:rFonts w:hint="eastAsia"/>
                      <w:sz w:val="21"/>
                      <w:szCs w:val="21"/>
                    </w:rPr>
                    <w:t>企业建设的地埋式污水处理设施处理，达到</w:t>
                  </w:r>
                  <w:r>
                    <w:rPr>
                      <w:sz w:val="21"/>
                      <w:szCs w:val="21"/>
                    </w:rPr>
                    <w:t>《污水综合排放标准》（GB8978-1996）表4中一级标准</w:t>
                  </w:r>
                  <w:r>
                    <w:rPr>
                      <w:rFonts w:hint="eastAsia"/>
                      <w:sz w:val="21"/>
                      <w:szCs w:val="21"/>
                    </w:rPr>
                    <w:t>后排放</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废水经地埋式污水处理设施处理后，委托第三方吸粪车抽出处置，不外排。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tcPr>
                <w:p>
                  <w:pPr>
                    <w:pStyle w:val="28"/>
                    <w:widowControl w:val="0"/>
                    <w:jc w:val="left"/>
                    <w:rPr>
                      <w:rFonts w:asciiTheme="minorEastAsia" w:hAnsiTheme="minorEastAsia" w:eastAsiaTheme="minorEastAsia" w:cstheme="minorEastAsia"/>
                      <w:b/>
                      <w:bCs/>
                    </w:rPr>
                  </w:pPr>
                </w:p>
              </w:tc>
              <w:tc>
                <w:tcPr>
                  <w:tcW w:w="709" w:type="dxa"/>
                  <w:vMerge w:val="restart"/>
                </w:tcPr>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p>
                <w:p>
                  <w:pPr>
                    <w:pStyle w:val="28"/>
                    <w:widowControl w:val="0"/>
                    <w:jc w:val="left"/>
                    <w:rPr>
                      <w:rFonts w:asciiTheme="minorEastAsia" w:hAnsiTheme="minorEastAsia" w:eastAsiaTheme="minorEastAsia" w:cstheme="minorEastAsia"/>
                      <w:b/>
                      <w:bCs/>
                    </w:rPr>
                  </w:pPr>
                  <w:r>
                    <w:rPr>
                      <w:rFonts w:hint="eastAsia" w:asciiTheme="minorEastAsia" w:hAnsiTheme="minorEastAsia" w:eastAsiaTheme="minorEastAsia" w:cstheme="minorEastAsia"/>
                      <w:b/>
                      <w:bCs/>
                    </w:rPr>
                    <w:t>环保工程</w:t>
                  </w:r>
                </w:p>
              </w:tc>
              <w:tc>
                <w:tcPr>
                  <w:tcW w:w="1417" w:type="dxa"/>
                  <w:vAlign w:val="center"/>
                </w:tcPr>
                <w:p>
                  <w:pPr>
                    <w:widowControl w:val="0"/>
                    <w:spacing w:line="240" w:lineRule="auto"/>
                    <w:ind w:firstLine="0" w:firstLineChars="0"/>
                    <w:jc w:val="both"/>
                    <w:rPr>
                      <w:bCs/>
                      <w:sz w:val="21"/>
                      <w:szCs w:val="21"/>
                    </w:rPr>
                  </w:pPr>
                  <w:r>
                    <w:rPr>
                      <w:rFonts w:hAnsi="宋体"/>
                      <w:bCs/>
                      <w:sz w:val="21"/>
                      <w:szCs w:val="21"/>
                    </w:rPr>
                    <w:t>废水治理</w:t>
                  </w:r>
                </w:p>
              </w:tc>
              <w:tc>
                <w:tcPr>
                  <w:tcW w:w="4253" w:type="dxa"/>
                  <w:vAlign w:val="center"/>
                </w:tcPr>
                <w:p>
                  <w:pPr>
                    <w:pStyle w:val="19"/>
                    <w:widowControl w:val="0"/>
                    <w:adjustRightInd/>
                    <w:snapToGrid/>
                    <w:spacing w:before="0" w:beforeAutospacing="0" w:after="0" w:afterAutospacing="0" w:line="240" w:lineRule="auto"/>
                    <w:ind w:right="120" w:rightChars="50" w:firstLine="0" w:firstLineChars="0"/>
                    <w:jc w:val="left"/>
                    <w:rPr>
                      <w:rFonts w:ascii="Times New Roman" w:hAnsi="Times New Roman"/>
                      <w:sz w:val="21"/>
                      <w:szCs w:val="21"/>
                    </w:rPr>
                  </w:pPr>
                  <w:r>
                    <w:rPr>
                      <w:rFonts w:hint="eastAsia"/>
                      <w:bCs/>
                      <w:sz w:val="21"/>
                      <w:szCs w:val="21"/>
                    </w:rPr>
                    <w:t>冲洗废水及生活污水经</w:t>
                  </w:r>
                  <w:r>
                    <w:rPr>
                      <w:rFonts w:hint="eastAsia" w:ascii="Times New Roman"/>
                      <w:sz w:val="21"/>
                      <w:szCs w:val="21"/>
                    </w:rPr>
                    <w:t>隔油池</w:t>
                  </w:r>
                  <w:r>
                    <w:rPr>
                      <w:rFonts w:hint="eastAsia"/>
                      <w:bCs/>
                      <w:sz w:val="21"/>
                      <w:szCs w:val="21"/>
                    </w:rPr>
                    <w:t>、化粪池预处理后进入</w:t>
                  </w:r>
                  <w:r>
                    <w:rPr>
                      <w:rFonts w:hint="eastAsia" w:ascii="Times New Roman" w:hAnsi="Times New Roman"/>
                      <w:sz w:val="21"/>
                      <w:szCs w:val="21"/>
                    </w:rPr>
                    <w:t>企业建设的地埋式污水处理设施处理，达到</w:t>
                  </w:r>
                  <w:r>
                    <w:rPr>
                      <w:rFonts w:ascii="Times New Roman" w:hAnsi="Times New Roman"/>
                      <w:sz w:val="21"/>
                      <w:szCs w:val="21"/>
                    </w:rPr>
                    <w:t>《污水综合排放标准》（GB8978-1996）表4中一级标准</w:t>
                  </w:r>
                  <w:r>
                    <w:rPr>
                      <w:rFonts w:hint="eastAsia" w:ascii="Times New Roman" w:hAnsi="Times New Roman"/>
                      <w:sz w:val="21"/>
                      <w:szCs w:val="21"/>
                    </w:rPr>
                    <w:t>后排放</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废水经地埋式污水处理设施处理后，委托第三方吸粪车抽出处置，不外排。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widowControl w:val="0"/>
                    <w:spacing w:line="240" w:lineRule="auto"/>
                    <w:ind w:firstLine="0" w:firstLineChars="0"/>
                    <w:jc w:val="both"/>
                    <w:rPr>
                      <w:bCs/>
                      <w:sz w:val="21"/>
                      <w:szCs w:val="21"/>
                    </w:rPr>
                  </w:pPr>
                  <w:r>
                    <w:rPr>
                      <w:rFonts w:hint="eastAsia"/>
                      <w:bCs/>
                      <w:sz w:val="21"/>
                      <w:szCs w:val="21"/>
                    </w:rPr>
                    <w:t>废气治理</w:t>
                  </w:r>
                </w:p>
              </w:tc>
              <w:tc>
                <w:tcPr>
                  <w:tcW w:w="4253" w:type="dxa"/>
                  <w:vAlign w:val="center"/>
                </w:tcPr>
                <w:p>
                  <w:pPr>
                    <w:pStyle w:val="19"/>
                    <w:widowControl w:val="0"/>
                    <w:spacing w:before="0" w:beforeAutospacing="0" w:after="0" w:afterAutospacing="0" w:line="240" w:lineRule="auto"/>
                    <w:ind w:right="120" w:rightChars="50" w:firstLine="0" w:firstLineChars="0"/>
                    <w:jc w:val="both"/>
                    <w:rPr>
                      <w:rFonts w:ascii="Times New Roman" w:hAnsi="Times New Roman"/>
                      <w:sz w:val="21"/>
                      <w:szCs w:val="21"/>
                    </w:rPr>
                  </w:pPr>
                  <w:r>
                    <w:rPr>
                      <w:rFonts w:hint="eastAsia" w:ascii="Times New Roman" w:hAnsi="Times New Roman"/>
                      <w:sz w:val="21"/>
                      <w:szCs w:val="21"/>
                    </w:rPr>
                    <w:t>卸油、加油二级油气回收系统；设置 EAG 加热系统对放散天然气加热后放散</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widowControl w:val="0"/>
                    <w:spacing w:line="240" w:lineRule="auto"/>
                    <w:ind w:firstLine="0" w:firstLineChars="0"/>
                    <w:jc w:val="both"/>
                    <w:rPr>
                      <w:rFonts w:hAnsi="宋体"/>
                      <w:bCs/>
                      <w:sz w:val="21"/>
                      <w:szCs w:val="21"/>
                    </w:rPr>
                  </w:pPr>
                  <w:r>
                    <w:rPr>
                      <w:rFonts w:hAnsi="宋体"/>
                      <w:bCs/>
                      <w:sz w:val="21"/>
                      <w:szCs w:val="21"/>
                    </w:rPr>
                    <w:t>噪声治理</w:t>
                  </w:r>
                </w:p>
              </w:tc>
              <w:tc>
                <w:tcPr>
                  <w:tcW w:w="4253" w:type="dxa"/>
                  <w:vAlign w:val="center"/>
                </w:tcPr>
                <w:p>
                  <w:pPr>
                    <w:pStyle w:val="19"/>
                    <w:widowControl w:val="0"/>
                    <w:spacing w:before="0" w:beforeAutospacing="0" w:after="0" w:afterAutospacing="0" w:line="240" w:lineRule="auto"/>
                    <w:ind w:right="120" w:rightChars="50" w:firstLine="0" w:firstLineChars="0"/>
                    <w:jc w:val="both"/>
                    <w:rPr>
                      <w:sz w:val="21"/>
                      <w:szCs w:val="21"/>
                    </w:rPr>
                  </w:pPr>
                  <w:r>
                    <w:rPr>
                      <w:rFonts w:hint="eastAsia"/>
                      <w:sz w:val="21"/>
                      <w:szCs w:val="21"/>
                    </w:rPr>
                    <w:t>选用低噪声设备，采取减振、消声等降噪措施</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tcPr>
                <w:p>
                  <w:pPr>
                    <w:pStyle w:val="28"/>
                    <w:widowControl w:val="0"/>
                    <w:jc w:val="left"/>
                    <w:rPr>
                      <w:rFonts w:asciiTheme="minorEastAsia" w:hAnsiTheme="minorEastAsia" w:eastAsiaTheme="minorEastAsia" w:cstheme="minorEastAsia"/>
                      <w:b/>
                      <w:bCs/>
                    </w:rPr>
                  </w:pPr>
                </w:p>
              </w:tc>
              <w:tc>
                <w:tcPr>
                  <w:tcW w:w="709" w:type="dxa"/>
                  <w:vMerge w:val="continue"/>
                </w:tcPr>
                <w:p>
                  <w:pPr>
                    <w:pStyle w:val="28"/>
                    <w:widowControl w:val="0"/>
                    <w:jc w:val="left"/>
                    <w:rPr>
                      <w:rFonts w:asciiTheme="minorEastAsia" w:hAnsiTheme="minorEastAsia" w:eastAsiaTheme="minorEastAsia" w:cstheme="minorEastAsia"/>
                      <w:b/>
                      <w:bCs/>
                    </w:rPr>
                  </w:pPr>
                </w:p>
              </w:tc>
              <w:tc>
                <w:tcPr>
                  <w:tcW w:w="1417" w:type="dxa"/>
                  <w:vAlign w:val="center"/>
                </w:tcPr>
                <w:p>
                  <w:pPr>
                    <w:pStyle w:val="11"/>
                    <w:widowControl w:val="0"/>
                    <w:spacing w:line="240" w:lineRule="auto"/>
                    <w:ind w:left="40" w:hanging="39" w:hangingChars="19"/>
                    <w:jc w:val="both"/>
                    <w:rPr>
                      <w:rFonts w:ascii="Times New Roman"/>
                      <w:sz w:val="21"/>
                      <w:szCs w:val="21"/>
                    </w:rPr>
                  </w:pPr>
                  <w:r>
                    <w:rPr>
                      <w:rFonts w:hint="eastAsia" w:ascii="Times New Roman"/>
                      <w:sz w:val="21"/>
                      <w:szCs w:val="21"/>
                    </w:rPr>
                    <w:t>固废</w:t>
                  </w:r>
                  <w:r>
                    <w:rPr>
                      <w:rFonts w:ascii="Times New Roman"/>
                      <w:sz w:val="21"/>
                      <w:szCs w:val="21"/>
                    </w:rPr>
                    <w:t>治理</w:t>
                  </w:r>
                </w:p>
              </w:tc>
              <w:tc>
                <w:tcPr>
                  <w:tcW w:w="4253" w:type="dxa"/>
                  <w:vAlign w:val="center"/>
                </w:tcPr>
                <w:p>
                  <w:pPr>
                    <w:pStyle w:val="11"/>
                    <w:widowControl w:val="0"/>
                    <w:spacing w:line="240" w:lineRule="auto"/>
                    <w:ind w:left="0" w:right="120" w:rightChars="50" w:firstLine="0" w:firstLineChars="0"/>
                    <w:jc w:val="both"/>
                    <w:rPr>
                      <w:rFonts w:ascii="Times New Roman"/>
                      <w:sz w:val="21"/>
                      <w:szCs w:val="21"/>
                    </w:rPr>
                  </w:pPr>
                  <w:r>
                    <w:rPr>
                      <w:rFonts w:hint="eastAsia" w:ascii="Times New Roman"/>
                      <w:sz w:val="21"/>
                      <w:szCs w:val="21"/>
                    </w:rPr>
                    <w:t>生活垃圾收集箱，固废暂存场所</w:t>
                  </w:r>
                </w:p>
              </w:tc>
              <w:tc>
                <w:tcPr>
                  <w:tcW w:w="1323" w:type="dxa"/>
                </w:tcPr>
                <w:p>
                  <w:pPr>
                    <w:pStyle w:val="28"/>
                    <w:widowControl w:val="0"/>
                    <w:jc w:val="left"/>
                    <w:rPr>
                      <w:rFonts w:asciiTheme="minorEastAsia" w:hAnsiTheme="minorEastAsia" w:eastAsiaTheme="minorEastAsia" w:cstheme="minorEastAsia"/>
                      <w:bCs/>
                    </w:rPr>
                  </w:pPr>
                  <w:r>
                    <w:rPr>
                      <w:rFonts w:hint="eastAsia" w:asciiTheme="minorEastAsia" w:hAnsiTheme="minorEastAsia" w:eastAsiaTheme="minorEastAsia" w:cstheme="minorEastAsia"/>
                      <w:bCs/>
                    </w:rPr>
                    <w:t>与环评一致</w:t>
                  </w:r>
                </w:p>
              </w:tc>
            </w:tr>
          </w:tbl>
          <w:p>
            <w:pPr>
              <w:pStyle w:val="28"/>
              <w:widowControl w:val="0"/>
              <w:jc w:val="left"/>
              <w:rPr>
                <w:rFonts w:asciiTheme="minorEastAsia" w:hAnsiTheme="minorEastAsia" w:eastAsiaTheme="minorEastAsia" w:cstheme="minorEastAsia"/>
                <w:b/>
                <w:bCs/>
              </w:rPr>
            </w:pPr>
          </w:p>
          <w:p>
            <w:pPr>
              <w:widowControl w:val="0"/>
              <w:ind w:firstLine="0" w:firstLineChars="0"/>
              <w:jc w:val="both"/>
              <w:rPr>
                <w:rFonts w:asciiTheme="minorEastAsia" w:hAnsiTheme="minorEastAsia" w:eastAsiaTheme="minorEastAsia" w:cstheme="minorEastAsia"/>
                <w:b/>
                <w:bCs/>
              </w:rPr>
            </w:pPr>
            <w:r>
              <w:rPr>
                <w:rFonts w:hint="eastAsia" w:asciiTheme="minorEastAsia" w:hAnsiTheme="minorEastAsia" w:eastAsiaTheme="minorEastAsia" w:cstheme="minorEastAsia"/>
                <w:b/>
                <w:bCs/>
              </w:rPr>
              <w:t>2.3、</w:t>
            </w:r>
            <w:r>
              <w:rPr>
                <w:rFonts w:hint="eastAsia" w:ascii="宋体" w:hAnsi="宋体" w:cs="宋体"/>
                <w:b/>
                <w:bCs/>
              </w:rPr>
              <w:t>原辅材料消耗</w:t>
            </w:r>
          </w:p>
          <w:p>
            <w:pPr>
              <w:widowControl w:val="0"/>
              <w:ind w:firstLine="480"/>
              <w:jc w:val="both"/>
            </w:pPr>
            <w:r>
              <w:rPr>
                <w:rFonts w:hint="eastAsia" w:asciiTheme="minorEastAsia" w:hAnsiTheme="minorEastAsia" w:eastAsiaTheme="minorEastAsia" w:cstheme="minorEastAsia"/>
              </w:rPr>
              <w:t>本项目原辅材料消耗一览表见表2-2</w:t>
            </w:r>
          </w:p>
          <w:p>
            <w:pPr>
              <w:widowControl w:val="0"/>
              <w:ind w:firstLine="422"/>
              <w:jc w:val="center"/>
              <w:rPr>
                <w:b/>
                <w:bCs/>
                <w:sz w:val="21"/>
                <w:szCs w:val="21"/>
              </w:rPr>
            </w:pPr>
            <w:r>
              <w:rPr>
                <w:rFonts w:hint="eastAsia"/>
                <w:b/>
                <w:bCs/>
                <w:sz w:val="21"/>
                <w:szCs w:val="21"/>
              </w:rPr>
              <w:t>表2-2  本项目原辅材料一览表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662"/>
              <w:gridCol w:w="2553"/>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905" w:type="dxa"/>
                  <w:tcBorders>
                    <w:top w:val="single" w:color="auto" w:sz="4" w:space="0"/>
                    <w:left w:val="single" w:color="auto" w:sz="4" w:space="0"/>
                    <w:bottom w:val="single" w:color="auto" w:sz="4" w:space="0"/>
                    <w:right w:val="single" w:color="auto" w:sz="4" w:space="0"/>
                  </w:tcBorders>
                  <w:vAlign w:val="center"/>
                </w:tcPr>
                <w:p>
                  <w:pPr>
                    <w:pStyle w:val="51"/>
                    <w:adjustRightInd w:val="0"/>
                    <w:rPr>
                      <w:spacing w:val="0"/>
                      <w:szCs w:val="21"/>
                    </w:rPr>
                  </w:pPr>
                  <w:r>
                    <w:rPr>
                      <w:rFonts w:hAnsi="宋体"/>
                      <w:spacing w:val="0"/>
                      <w:szCs w:val="21"/>
                    </w:rPr>
                    <w:t>序号</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hAnsi="宋体"/>
                      <w:sz w:val="21"/>
                      <w:szCs w:val="21"/>
                    </w:rPr>
                    <w:t>名称</w:t>
                  </w:r>
                </w:p>
              </w:tc>
              <w:tc>
                <w:tcPr>
                  <w:tcW w:w="25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1"/>
                      <w:szCs w:val="21"/>
                    </w:rPr>
                  </w:pPr>
                  <w:r>
                    <w:rPr>
                      <w:rFonts w:hint="eastAsia" w:hAnsi="宋体"/>
                      <w:sz w:val="21"/>
                      <w:szCs w:val="21"/>
                    </w:rPr>
                    <w:t>设计年销售量</w:t>
                  </w:r>
                </w:p>
              </w:tc>
              <w:tc>
                <w:tcPr>
                  <w:tcW w:w="1748"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sz w:val="21"/>
                      <w:szCs w:val="21"/>
                    </w:rPr>
                  </w:pPr>
                  <w:r>
                    <w:rPr>
                      <w:rFonts w:hint="eastAsia" w:hAnsi="宋体"/>
                      <w:sz w:val="21"/>
                      <w:szCs w:val="21"/>
                    </w:rPr>
                    <w:t>实际年销售量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90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1</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汽油</w:t>
                  </w:r>
                </w:p>
              </w:tc>
              <w:tc>
                <w:tcPr>
                  <w:tcW w:w="2553"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0" w:firstLineChars="0"/>
                    <w:jc w:val="center"/>
                    <w:rPr>
                      <w:sz w:val="21"/>
                      <w:szCs w:val="21"/>
                    </w:rPr>
                  </w:pPr>
                  <w:r>
                    <w:rPr>
                      <w:rFonts w:hint="eastAsia"/>
                      <w:sz w:val="21"/>
                      <w:szCs w:val="21"/>
                    </w:rPr>
                    <w:t>2537t</w:t>
                  </w:r>
                </w:p>
              </w:tc>
              <w:tc>
                <w:tcPr>
                  <w:tcW w:w="1748"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sz w:val="21"/>
                      <w:szCs w:val="21"/>
                    </w:rPr>
                  </w:pPr>
                  <w:r>
                    <w:rPr>
                      <w:rFonts w:hint="eastAsia"/>
                      <w:sz w:val="21"/>
                      <w:szCs w:val="21"/>
                    </w:rPr>
                    <w:t>2</w:t>
                  </w:r>
                  <w:r>
                    <w:rPr>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90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2</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center"/>
                    <w:rPr>
                      <w:sz w:val="21"/>
                      <w:szCs w:val="21"/>
                    </w:rPr>
                  </w:pPr>
                  <w:r>
                    <w:rPr>
                      <w:rFonts w:hint="eastAsia"/>
                      <w:sz w:val="21"/>
                      <w:szCs w:val="21"/>
                    </w:rPr>
                    <w:t>柴油</w:t>
                  </w:r>
                </w:p>
              </w:tc>
              <w:tc>
                <w:tcPr>
                  <w:tcW w:w="2553"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0" w:firstLineChars="0"/>
                    <w:jc w:val="center"/>
                    <w:rPr>
                      <w:sz w:val="21"/>
                      <w:szCs w:val="21"/>
                    </w:rPr>
                  </w:pPr>
                  <w:r>
                    <w:rPr>
                      <w:rFonts w:hint="eastAsia"/>
                      <w:sz w:val="21"/>
                      <w:szCs w:val="21"/>
                    </w:rPr>
                    <w:t>3044t</w:t>
                  </w:r>
                </w:p>
              </w:tc>
              <w:tc>
                <w:tcPr>
                  <w:tcW w:w="1748"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sz w:val="21"/>
                      <w:szCs w:val="21"/>
                    </w:rPr>
                  </w:pPr>
                  <w:r>
                    <w:rPr>
                      <w:rFonts w:hint="eastAsia"/>
                      <w:sz w:val="21"/>
                      <w:szCs w:val="21"/>
                    </w:rPr>
                    <w:t>3</w:t>
                  </w:r>
                  <w:r>
                    <w:rPr>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90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3</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center"/>
                    <w:rPr>
                      <w:sz w:val="21"/>
                      <w:szCs w:val="21"/>
                    </w:rPr>
                  </w:pPr>
                  <w:r>
                    <w:rPr>
                      <w:rFonts w:hint="eastAsia"/>
                      <w:sz w:val="21"/>
                      <w:szCs w:val="21"/>
                    </w:rPr>
                    <w:t>LNG</w:t>
                  </w:r>
                </w:p>
              </w:tc>
              <w:tc>
                <w:tcPr>
                  <w:tcW w:w="2553"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0" w:firstLineChars="0"/>
                    <w:jc w:val="center"/>
                    <w:rPr>
                      <w:sz w:val="21"/>
                      <w:szCs w:val="21"/>
                    </w:rPr>
                  </w:pPr>
                  <w:r>
                    <w:rPr>
                      <w:rFonts w:hint="eastAsia"/>
                      <w:sz w:val="21"/>
                      <w:szCs w:val="21"/>
                    </w:rPr>
                    <w:t>5.48</w:t>
                  </w:r>
                  <w:r>
                    <w:rPr>
                      <w:sz w:val="21"/>
                      <w:szCs w:val="21"/>
                    </w:rPr>
                    <w:t>×10</w:t>
                  </w:r>
                  <w:r>
                    <w:rPr>
                      <w:rFonts w:hint="eastAsia"/>
                      <w:sz w:val="21"/>
                      <w:szCs w:val="21"/>
                      <w:vertAlign w:val="superscript"/>
                    </w:rPr>
                    <w:t>6</w:t>
                  </w:r>
                  <w:r>
                    <w:rPr>
                      <w:sz w:val="21"/>
                      <w:szCs w:val="21"/>
                    </w:rPr>
                    <w:t>Nm</w:t>
                  </w:r>
                  <w:r>
                    <w:rPr>
                      <w:sz w:val="21"/>
                      <w:szCs w:val="21"/>
                      <w:vertAlign w:val="superscript"/>
                    </w:rPr>
                    <w:t>3</w:t>
                  </w:r>
                </w:p>
              </w:tc>
              <w:tc>
                <w:tcPr>
                  <w:tcW w:w="1748"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sz w:val="21"/>
                      <w:szCs w:val="21"/>
                    </w:rPr>
                  </w:pPr>
                  <w:r>
                    <w:rPr>
                      <w:rFonts w:hint="eastAsia"/>
                      <w:sz w:val="21"/>
                      <w:szCs w:val="21"/>
                    </w:rPr>
                    <w:t>5</w:t>
                  </w:r>
                  <w:r>
                    <w:rPr>
                      <w:sz w:val="21"/>
                      <w:szCs w:val="21"/>
                    </w:rPr>
                    <w:t>.00×10</w:t>
                  </w:r>
                  <w:r>
                    <w:rPr>
                      <w:rFonts w:hint="eastAsia"/>
                      <w:sz w:val="21"/>
                      <w:szCs w:val="21"/>
                      <w:vertAlign w:val="superscript"/>
                    </w:rPr>
                    <w:t>6</w:t>
                  </w:r>
                  <w:r>
                    <w:rPr>
                      <w:sz w:val="21"/>
                      <w:szCs w:val="21"/>
                    </w:rPr>
                    <w:t>Nm</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90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4</w:t>
                  </w:r>
                </w:p>
              </w:tc>
              <w:tc>
                <w:tcPr>
                  <w:tcW w:w="16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center"/>
                    <w:rPr>
                      <w:sz w:val="21"/>
                      <w:szCs w:val="21"/>
                    </w:rPr>
                  </w:pPr>
                  <w:r>
                    <w:rPr>
                      <w:rFonts w:hint="eastAsia"/>
                      <w:sz w:val="21"/>
                      <w:szCs w:val="21"/>
                    </w:rPr>
                    <w:t>CNG</w:t>
                  </w:r>
                </w:p>
              </w:tc>
              <w:tc>
                <w:tcPr>
                  <w:tcW w:w="2553"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ind w:firstLine="0" w:firstLineChars="0"/>
                    <w:jc w:val="center"/>
                    <w:rPr>
                      <w:color w:val="0000FF"/>
                      <w:sz w:val="21"/>
                      <w:szCs w:val="21"/>
                    </w:rPr>
                  </w:pPr>
                  <w:r>
                    <w:rPr>
                      <w:sz w:val="21"/>
                      <w:szCs w:val="21"/>
                    </w:rPr>
                    <w:t>1.</w:t>
                  </w:r>
                  <w:r>
                    <w:rPr>
                      <w:rFonts w:hint="eastAsia"/>
                      <w:sz w:val="21"/>
                      <w:szCs w:val="21"/>
                    </w:rPr>
                    <w:t>46</w:t>
                  </w:r>
                  <w:r>
                    <w:rPr>
                      <w:sz w:val="21"/>
                      <w:szCs w:val="21"/>
                    </w:rPr>
                    <w:t>×10</w:t>
                  </w:r>
                  <w:r>
                    <w:rPr>
                      <w:rFonts w:hint="eastAsia"/>
                      <w:sz w:val="21"/>
                      <w:szCs w:val="21"/>
                      <w:vertAlign w:val="superscript"/>
                    </w:rPr>
                    <w:t>6</w:t>
                  </w:r>
                  <w:r>
                    <w:rPr>
                      <w:sz w:val="21"/>
                      <w:szCs w:val="21"/>
                    </w:rPr>
                    <w:t>Nm</w:t>
                  </w:r>
                  <w:r>
                    <w:rPr>
                      <w:sz w:val="21"/>
                      <w:szCs w:val="21"/>
                      <w:vertAlign w:val="superscript"/>
                    </w:rPr>
                    <w:t>3</w:t>
                  </w:r>
                </w:p>
              </w:tc>
              <w:tc>
                <w:tcPr>
                  <w:tcW w:w="1748"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sz w:val="21"/>
                      <w:szCs w:val="21"/>
                    </w:rPr>
                  </w:pPr>
                  <w:r>
                    <w:rPr>
                      <w:rFonts w:hint="eastAsia"/>
                      <w:sz w:val="21"/>
                      <w:szCs w:val="21"/>
                    </w:rPr>
                    <w:t>1</w:t>
                  </w:r>
                  <w:r>
                    <w:rPr>
                      <w:sz w:val="21"/>
                      <w:szCs w:val="21"/>
                    </w:rPr>
                    <w:t>.50×10</w:t>
                  </w:r>
                  <w:r>
                    <w:rPr>
                      <w:rFonts w:hint="eastAsia"/>
                      <w:sz w:val="21"/>
                      <w:szCs w:val="21"/>
                      <w:vertAlign w:val="superscript"/>
                    </w:rPr>
                    <w:t>6</w:t>
                  </w:r>
                  <w:r>
                    <w:rPr>
                      <w:sz w:val="21"/>
                      <w:szCs w:val="21"/>
                    </w:rPr>
                    <w:t>Nm</w:t>
                  </w:r>
                  <w:r>
                    <w:rPr>
                      <w:sz w:val="21"/>
                      <w:szCs w:val="21"/>
                      <w:vertAlign w:val="superscript"/>
                    </w:rPr>
                    <w:t>3</w:t>
                  </w:r>
                </w:p>
              </w:tc>
            </w:tr>
          </w:tbl>
          <w:p>
            <w:pPr>
              <w:pStyle w:val="52"/>
              <w:widowControl w:val="0"/>
              <w:autoSpaceDE w:val="0"/>
              <w:autoSpaceDN w:val="0"/>
              <w:spacing w:before="0" w:after="0" w:line="360" w:lineRule="auto"/>
              <w:ind w:firstLine="238" w:firstLineChars="100"/>
              <w:jc w:val="left"/>
              <w:rPr>
                <w:rFonts w:ascii="Times New Roman" w:hAnsi="Times New Roman"/>
                <w:sz w:val="24"/>
                <w:szCs w:val="24"/>
                <w:lang w:eastAsia="zh-CN"/>
              </w:rPr>
            </w:pPr>
            <w:r>
              <w:rPr>
                <w:rFonts w:ascii="Times New Roman" w:hAnsi="Times New Roman"/>
                <w:spacing w:val="-1"/>
                <w:sz w:val="24"/>
                <w:szCs w:val="24"/>
                <w:lang w:eastAsia="zh-CN"/>
              </w:rPr>
              <w:t>本站主要储存汽油、柴油、LNG</w:t>
            </w:r>
            <w:r>
              <w:rPr>
                <w:rFonts w:ascii="Times New Roman" w:hAnsi="Times New Roman"/>
                <w:sz w:val="24"/>
                <w:szCs w:val="24"/>
                <w:lang w:eastAsia="zh-CN"/>
              </w:rPr>
              <w:t>及</w:t>
            </w:r>
            <w:r>
              <w:rPr>
                <w:rFonts w:ascii="Times New Roman" w:hAnsi="Times New Roman"/>
                <w:spacing w:val="-1"/>
                <w:sz w:val="24"/>
                <w:szCs w:val="24"/>
                <w:lang w:eastAsia="zh-CN"/>
              </w:rPr>
              <w:t>CNG</w:t>
            </w:r>
            <w:r>
              <w:rPr>
                <w:rFonts w:ascii="Times New Roman" w:hAnsi="Times New Roman"/>
                <w:sz w:val="24"/>
                <w:szCs w:val="24"/>
                <w:lang w:eastAsia="zh-CN"/>
              </w:rPr>
              <w:t>天然气，</w:t>
            </w:r>
            <w:r>
              <w:rPr>
                <w:rFonts w:hint="eastAsia" w:ascii="Times New Roman" w:hAnsi="Times New Roman" w:eastAsia="宋体"/>
                <w:sz w:val="24"/>
                <w:szCs w:val="24"/>
                <w:lang w:eastAsia="zh-CN"/>
              </w:rPr>
              <w:t>主要物理性质</w:t>
            </w:r>
            <w:r>
              <w:rPr>
                <w:rFonts w:ascii="Times New Roman" w:hAnsi="Times New Roman"/>
                <w:sz w:val="24"/>
                <w:szCs w:val="24"/>
                <w:lang w:eastAsia="zh-CN"/>
              </w:rPr>
              <w:t>见表</w:t>
            </w:r>
            <w:r>
              <w:rPr>
                <w:rFonts w:hint="eastAsia" w:ascii="Times New Roman" w:hAnsi="Times New Roman" w:eastAsiaTheme="minorEastAsia"/>
                <w:sz w:val="24"/>
                <w:szCs w:val="24"/>
                <w:lang w:eastAsia="zh-CN"/>
              </w:rPr>
              <w:t>2-</w:t>
            </w:r>
            <w:r>
              <w:rPr>
                <w:rFonts w:hint="eastAsia" w:ascii="Times New Roman" w:hAnsi="Times New Roman" w:eastAsia="宋体"/>
                <w:sz w:val="24"/>
                <w:szCs w:val="24"/>
                <w:lang w:val="en-US" w:eastAsia="zh-CN"/>
              </w:rPr>
              <w:t>3</w:t>
            </w:r>
            <w:r>
              <w:rPr>
                <w:rFonts w:ascii="Times New Roman" w:hAnsi="Times New Roman"/>
                <w:sz w:val="24"/>
                <w:szCs w:val="24"/>
                <w:lang w:eastAsia="zh-CN"/>
              </w:rPr>
              <w:t>及表</w:t>
            </w:r>
            <w:r>
              <w:rPr>
                <w:rFonts w:hint="eastAsia" w:ascii="Times New Roman" w:hAnsi="Times New Roman" w:eastAsiaTheme="minorEastAsia"/>
                <w:sz w:val="24"/>
                <w:szCs w:val="24"/>
                <w:lang w:eastAsia="zh-CN"/>
              </w:rPr>
              <w:t>2-</w:t>
            </w:r>
            <w:r>
              <w:rPr>
                <w:rFonts w:hint="eastAsia" w:ascii="Times New Roman" w:hAnsi="Times New Roman" w:eastAsia="宋体"/>
                <w:sz w:val="24"/>
                <w:szCs w:val="24"/>
                <w:lang w:val="en-US" w:eastAsia="zh-CN"/>
              </w:rPr>
              <w:t>4</w:t>
            </w:r>
            <w:r>
              <w:rPr>
                <w:rFonts w:ascii="Times New Roman" w:hAnsi="Times New Roman"/>
                <w:sz w:val="24"/>
                <w:szCs w:val="24"/>
                <w:lang w:eastAsia="zh-CN"/>
              </w:rPr>
              <w:t>。</w:t>
            </w:r>
          </w:p>
          <w:p>
            <w:pPr>
              <w:widowControl w:val="0"/>
              <w:ind w:firstLine="422"/>
              <w:jc w:val="center"/>
              <w:rPr>
                <w:rFonts w:hAnsi="宋体"/>
                <w:b/>
                <w:bCs/>
                <w:sz w:val="21"/>
                <w:szCs w:val="21"/>
              </w:rPr>
            </w:pPr>
            <w:r>
              <w:rPr>
                <w:rFonts w:hAnsi="宋体"/>
                <w:b/>
                <w:bCs/>
                <w:sz w:val="21"/>
                <w:szCs w:val="21"/>
              </w:rPr>
              <w:t>表2</w:t>
            </w:r>
            <w:r>
              <w:rPr>
                <w:rFonts w:hint="eastAsia" w:hAnsi="宋体"/>
                <w:b/>
                <w:bCs/>
                <w:sz w:val="21"/>
                <w:szCs w:val="21"/>
              </w:rPr>
              <w:t>-</w:t>
            </w:r>
            <w:r>
              <w:rPr>
                <w:rFonts w:hAnsi="宋体"/>
                <w:b/>
                <w:bCs/>
                <w:sz w:val="21"/>
                <w:szCs w:val="21"/>
              </w:rPr>
              <w:t>3</w:t>
            </w:r>
            <w:r>
              <w:rPr>
                <w:rFonts w:hint="eastAsia" w:hAnsi="宋体"/>
                <w:b/>
                <w:bCs/>
                <w:sz w:val="21"/>
                <w:szCs w:val="21"/>
              </w:rPr>
              <w:t xml:space="preserve"> </w:t>
            </w:r>
            <w:r>
              <w:rPr>
                <w:rFonts w:hAnsi="宋体"/>
                <w:b/>
                <w:bCs/>
                <w:sz w:val="21"/>
                <w:szCs w:val="21"/>
              </w:rPr>
              <w:t xml:space="preserve"> 汽、柴油主要</w:t>
            </w:r>
            <w:r>
              <w:rPr>
                <w:rFonts w:hint="eastAsia" w:hAnsi="宋体"/>
                <w:b/>
                <w:bCs/>
                <w:sz w:val="21"/>
                <w:szCs w:val="21"/>
              </w:rPr>
              <w:t>物理性质</w:t>
            </w:r>
            <w:r>
              <w:rPr>
                <w:rFonts w:hAnsi="宋体"/>
                <w:b/>
                <w:bCs/>
                <w:sz w:val="21"/>
                <w:szCs w:val="21"/>
              </w:rPr>
              <w:t>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196"/>
              <w:gridCol w:w="2223"/>
              <w:gridCol w:w="1830"/>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0" w:type="dxa"/>
                </w:tcPr>
                <w:p>
                  <w:pPr>
                    <w:widowControl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196"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hint="eastAsia" w:cs="微软雅黑" w:asciiTheme="minorEastAsia" w:hAnsiTheme="minorEastAsia" w:eastAsiaTheme="minorEastAsia"/>
                      <w:sz w:val="21"/>
                      <w:szCs w:val="21"/>
                      <w:lang w:eastAsia="zh-CN"/>
                    </w:rPr>
                    <w:t>油品名称</w:t>
                  </w:r>
                </w:p>
              </w:tc>
              <w:tc>
                <w:tcPr>
                  <w:tcW w:w="2223"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hint="eastAsia" w:cs="微软雅黑" w:asciiTheme="minorEastAsia" w:hAnsiTheme="minorEastAsia" w:eastAsiaTheme="minorEastAsia"/>
                      <w:sz w:val="21"/>
                      <w:szCs w:val="21"/>
                      <w:lang w:eastAsia="zh-CN"/>
                    </w:rPr>
                    <w:t>密度（</w:t>
                  </w:r>
                  <w:r>
                    <w:rPr>
                      <w:rFonts w:asciiTheme="minorEastAsia" w:hAnsiTheme="minorEastAsia" w:eastAsiaTheme="minorEastAsia"/>
                      <w:sz w:val="21"/>
                      <w:szCs w:val="21"/>
                      <w:lang w:eastAsia="zh-CN"/>
                    </w:rPr>
                    <w:t>20</w:t>
                  </w:r>
                  <w:r>
                    <w:rPr>
                      <w:rFonts w:hint="eastAsia" w:cs="微软雅黑" w:asciiTheme="minorEastAsia" w:hAnsiTheme="minorEastAsia" w:eastAsiaTheme="minorEastAsia"/>
                      <w:sz w:val="21"/>
                      <w:szCs w:val="21"/>
                      <w:lang w:eastAsia="zh-CN"/>
                    </w:rPr>
                    <w:t>）（</w:t>
                  </w:r>
                  <w:r>
                    <w:rPr>
                      <w:rFonts w:asciiTheme="minorEastAsia" w:hAnsiTheme="minorEastAsia" w:eastAsiaTheme="minorEastAsia"/>
                      <w:spacing w:val="-1"/>
                      <w:sz w:val="21"/>
                      <w:szCs w:val="21"/>
                      <w:lang w:eastAsia="zh-CN"/>
                    </w:rPr>
                    <w:t>kg/m</w:t>
                  </w:r>
                  <w:r>
                    <w:rPr>
                      <w:rFonts w:hint="eastAsia" w:asciiTheme="minorEastAsia" w:hAnsiTheme="minorEastAsia" w:eastAsiaTheme="minorEastAsia"/>
                      <w:spacing w:val="-1"/>
                      <w:sz w:val="21"/>
                      <w:szCs w:val="21"/>
                      <w:vertAlign w:val="superscript"/>
                      <w:lang w:val="en-US" w:eastAsia="zh-CN"/>
                    </w:rPr>
                    <w:t>3</w:t>
                  </w:r>
                  <w:r>
                    <w:rPr>
                      <w:rFonts w:hint="eastAsia" w:cs="微软雅黑" w:asciiTheme="minorEastAsia" w:hAnsiTheme="minorEastAsia" w:eastAsiaTheme="minorEastAsia"/>
                      <w:sz w:val="21"/>
                      <w:szCs w:val="21"/>
                      <w:lang w:eastAsia="zh-CN"/>
                    </w:rPr>
                    <w:t>）</w:t>
                  </w:r>
                </w:p>
              </w:tc>
              <w:tc>
                <w:tcPr>
                  <w:tcW w:w="1830"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hint="eastAsia" w:cs="微软雅黑" w:asciiTheme="minorEastAsia" w:hAnsiTheme="minorEastAsia" w:eastAsiaTheme="minorEastAsia"/>
                      <w:sz w:val="21"/>
                      <w:szCs w:val="21"/>
                      <w:lang w:eastAsia="zh-CN"/>
                    </w:rPr>
                    <w:t>闪点（</w:t>
                  </w:r>
                  <w:r>
                    <w:rPr>
                      <w:rFonts w:asciiTheme="minorEastAsia" w:hAnsiTheme="minorEastAsia" w:eastAsiaTheme="minorEastAsia"/>
                      <w:spacing w:val="-1"/>
                      <w:sz w:val="21"/>
                      <w:szCs w:val="21"/>
                      <w:lang w:eastAsia="zh-CN"/>
                    </w:rPr>
                    <w:t xml:space="preserve"> (</w:t>
                  </w:r>
                  <w:r>
                    <w:rPr>
                      <w:rFonts w:hint="eastAsia" w:cs="微软雅黑" w:asciiTheme="minorEastAsia" w:hAnsiTheme="minorEastAsia" w:eastAsiaTheme="minorEastAsia"/>
                      <w:sz w:val="21"/>
                      <w:szCs w:val="21"/>
                      <w:lang w:eastAsia="zh-CN"/>
                    </w:rPr>
                    <w:t>闭口</w:t>
                  </w:r>
                  <w:r>
                    <w:rPr>
                      <w:rFonts w:asciiTheme="minorEastAsia" w:hAnsiTheme="minorEastAsia" w:eastAsiaTheme="minorEastAsia"/>
                      <w:sz w:val="21"/>
                      <w:szCs w:val="21"/>
                      <w:lang w:eastAsia="zh-CN"/>
                    </w:rPr>
                    <w:t>)</w:t>
                  </w:r>
                </w:p>
              </w:tc>
              <w:tc>
                <w:tcPr>
                  <w:tcW w:w="2042"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hint="eastAsia" w:cs="微软雅黑" w:asciiTheme="minorEastAsia" w:hAnsiTheme="minorEastAsia" w:eastAsiaTheme="minorEastAsia"/>
                      <w:sz w:val="21"/>
                      <w:szCs w:val="21"/>
                      <w:lang w:eastAsia="zh-CN"/>
                    </w:rPr>
                    <w:t>运动粘度（</w:t>
                  </w:r>
                  <w:r>
                    <w:rPr>
                      <w:rFonts w:asciiTheme="minorEastAsia" w:hAnsiTheme="minorEastAsia" w:eastAsiaTheme="minorEastAsia"/>
                      <w:spacing w:val="1"/>
                      <w:sz w:val="21"/>
                      <w:szCs w:val="21"/>
                      <w:lang w:eastAsia="zh-CN"/>
                    </w:rPr>
                    <w:t>mm</w:t>
                  </w:r>
                  <w:r>
                    <w:rPr>
                      <w:rFonts w:hint="eastAsia" w:asciiTheme="minorEastAsia" w:hAnsiTheme="minorEastAsia" w:eastAsiaTheme="minorEastAsia"/>
                      <w:spacing w:val="1"/>
                      <w:sz w:val="21"/>
                      <w:szCs w:val="21"/>
                      <w:vertAlign w:val="superscript"/>
                      <w:lang w:val="en-US" w:eastAsia="zh-CN"/>
                    </w:rPr>
                    <w:t>2</w:t>
                  </w:r>
                  <w:r>
                    <w:rPr>
                      <w:rFonts w:asciiTheme="minorEastAsia" w:hAnsiTheme="minorEastAsia" w:eastAsiaTheme="minorEastAsia"/>
                      <w:sz w:val="21"/>
                      <w:szCs w:val="21"/>
                      <w:lang w:eastAsia="zh-CN"/>
                    </w:rPr>
                    <w:t>/s</w:t>
                  </w:r>
                  <w:r>
                    <w:rPr>
                      <w:rFonts w:hint="eastAsia" w:cs="微软雅黑" w:asciiTheme="minorEastAsia" w:hAnsiTheme="minorEastAsia" w:eastAsiaTheme="minor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0" w:type="dxa"/>
                </w:tcPr>
                <w:p>
                  <w:pPr>
                    <w:widowControl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196"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hint="eastAsia" w:cs="微软雅黑" w:asciiTheme="minorEastAsia" w:hAnsiTheme="minorEastAsia" w:eastAsiaTheme="minorEastAsia"/>
                      <w:sz w:val="21"/>
                      <w:szCs w:val="21"/>
                      <w:lang w:eastAsia="zh-CN"/>
                    </w:rPr>
                    <w:t>汽油</w:t>
                  </w:r>
                </w:p>
              </w:tc>
              <w:tc>
                <w:tcPr>
                  <w:tcW w:w="2223" w:type="dxa"/>
                </w:tcPr>
                <w:p>
                  <w:pPr>
                    <w:pStyle w:val="52"/>
                    <w:widowControl w:val="0"/>
                    <w:autoSpaceDE w:val="0"/>
                    <w:autoSpaceDN w:val="0"/>
                    <w:spacing w:before="0" w:after="0" w:line="320" w:lineRule="exact"/>
                    <w:ind w:firstLine="42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700</w:t>
                  </w:r>
                  <w:r>
                    <w:rPr>
                      <w:rFonts w:hint="eastAsia" w:cs="微软雅黑"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790</w:t>
                  </w:r>
                </w:p>
              </w:tc>
              <w:tc>
                <w:tcPr>
                  <w:tcW w:w="1830"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-50</w:t>
                  </w:r>
                  <w:r>
                    <w:rPr>
                      <w:rFonts w:hint="eastAsia" w:cs="微软雅黑"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10</w:t>
                  </w:r>
                </w:p>
              </w:tc>
              <w:tc>
                <w:tcPr>
                  <w:tcW w:w="2042"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0" w:type="dxa"/>
                </w:tcPr>
                <w:p>
                  <w:pPr>
                    <w:widowControl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196" w:type="dxa"/>
                </w:tcPr>
                <w:p>
                  <w:pPr>
                    <w:widowControl w:val="0"/>
                    <w:spacing w:line="320" w:lineRule="exact"/>
                    <w:ind w:firstLine="0" w:firstLineChars="0"/>
                    <w:jc w:val="center"/>
                    <w:rPr>
                      <w:rFonts w:asciiTheme="minorEastAsia" w:hAnsiTheme="minorEastAsia" w:eastAsiaTheme="minorEastAsia"/>
                      <w:sz w:val="21"/>
                      <w:szCs w:val="21"/>
                    </w:rPr>
                  </w:pPr>
                  <w:r>
                    <w:rPr>
                      <w:rFonts w:cs="IVSQSF+ËÎÌå" w:asciiTheme="minorEastAsia" w:hAnsiTheme="minorEastAsia" w:eastAsiaTheme="minorEastAsia"/>
                      <w:sz w:val="21"/>
                      <w:szCs w:val="21"/>
                    </w:rPr>
                    <w:t>柴油</w:t>
                  </w:r>
                </w:p>
              </w:tc>
              <w:tc>
                <w:tcPr>
                  <w:tcW w:w="2223"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800</w:t>
                  </w:r>
                  <w:r>
                    <w:rPr>
                      <w:rFonts w:hint="eastAsia" w:cs="微软雅黑"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840</w:t>
                  </w:r>
                </w:p>
              </w:tc>
              <w:tc>
                <w:tcPr>
                  <w:tcW w:w="1830"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≥45</w:t>
                  </w:r>
                </w:p>
              </w:tc>
              <w:tc>
                <w:tcPr>
                  <w:tcW w:w="2042" w:type="dxa"/>
                </w:tcPr>
                <w:p>
                  <w:pPr>
                    <w:pStyle w:val="52"/>
                    <w:widowControl w:val="0"/>
                    <w:autoSpaceDE w:val="0"/>
                    <w:autoSpaceDN w:val="0"/>
                    <w:spacing w:before="0" w:after="0" w:line="320" w:lineRule="exact"/>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1.8</w:t>
                  </w:r>
                  <w:r>
                    <w:rPr>
                      <w:rFonts w:hint="eastAsia" w:cs="微软雅黑"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8.0</w:t>
                  </w:r>
                </w:p>
              </w:tc>
            </w:tr>
          </w:tbl>
          <w:p>
            <w:pPr>
              <w:widowControl w:val="0"/>
              <w:spacing w:before="120" w:beforeLines="50"/>
              <w:ind w:firstLine="422"/>
              <w:jc w:val="center"/>
              <w:rPr>
                <w:rFonts w:hAnsi="宋体"/>
                <w:b/>
                <w:bCs/>
                <w:sz w:val="21"/>
                <w:szCs w:val="21"/>
              </w:rPr>
            </w:pPr>
            <w:r>
              <w:rPr>
                <w:rFonts w:hAnsi="宋体"/>
                <w:b/>
                <w:bCs/>
                <w:sz w:val="21"/>
                <w:szCs w:val="21"/>
              </w:rPr>
              <w:t>表2</w:t>
            </w:r>
            <w:r>
              <w:rPr>
                <w:rFonts w:hint="eastAsia" w:hAnsi="宋体"/>
                <w:b/>
                <w:bCs/>
                <w:sz w:val="21"/>
                <w:szCs w:val="21"/>
              </w:rPr>
              <w:t>-</w:t>
            </w:r>
            <w:r>
              <w:rPr>
                <w:rFonts w:hAnsi="宋体"/>
                <w:b/>
                <w:bCs/>
                <w:sz w:val="21"/>
                <w:szCs w:val="21"/>
              </w:rPr>
              <w:t xml:space="preserve">4 </w:t>
            </w:r>
            <w:r>
              <w:rPr>
                <w:rFonts w:hint="eastAsia" w:hAnsi="宋体"/>
                <w:b/>
                <w:bCs/>
                <w:sz w:val="21"/>
                <w:szCs w:val="21"/>
              </w:rPr>
              <w:t xml:space="preserve"> </w:t>
            </w:r>
            <w:r>
              <w:rPr>
                <w:rFonts w:hAnsi="宋体"/>
                <w:b/>
                <w:bCs/>
                <w:sz w:val="21"/>
                <w:szCs w:val="21"/>
              </w:rPr>
              <w:t>天然气主要</w:t>
            </w:r>
            <w:r>
              <w:rPr>
                <w:rFonts w:hint="eastAsia" w:hAnsi="宋体"/>
                <w:b/>
                <w:bCs/>
                <w:sz w:val="21"/>
                <w:szCs w:val="21"/>
              </w:rPr>
              <w:t>物理性质</w:t>
            </w:r>
            <w:r>
              <w:rPr>
                <w:rFonts w:hAnsi="宋体"/>
                <w:b/>
                <w:bCs/>
                <w:sz w:val="21"/>
                <w:szCs w:val="21"/>
              </w:rPr>
              <w:t>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320"/>
              <w:gridCol w:w="252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0" w:type="dxa"/>
                </w:tcPr>
                <w:p>
                  <w:pPr>
                    <w:widowControl w:val="0"/>
                    <w:spacing w:line="240" w:lineRule="auto"/>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序号</w:t>
                  </w:r>
                </w:p>
              </w:tc>
              <w:tc>
                <w:tcPr>
                  <w:tcW w:w="1320" w:type="dxa"/>
                </w:tcPr>
                <w:p>
                  <w:pPr>
                    <w:pStyle w:val="52"/>
                    <w:widowControl w:val="0"/>
                    <w:autoSpaceDE w:val="0"/>
                    <w:autoSpaceDN w:val="0"/>
                    <w:spacing w:before="0" w:after="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名称</w:t>
                  </w:r>
                </w:p>
                <w:p>
                  <w:pPr>
                    <w:widowControl w:val="0"/>
                    <w:spacing w:line="240" w:lineRule="auto"/>
                    <w:ind w:firstLine="420"/>
                    <w:jc w:val="center"/>
                    <w:rPr>
                      <w:rFonts w:asciiTheme="minorEastAsia" w:hAnsiTheme="minorEastAsia" w:eastAsiaTheme="minorEastAsia"/>
                      <w:sz w:val="21"/>
                      <w:szCs w:val="21"/>
                    </w:rPr>
                  </w:pPr>
                </w:p>
              </w:tc>
              <w:tc>
                <w:tcPr>
                  <w:tcW w:w="2520" w:type="dxa"/>
                </w:tcPr>
                <w:p>
                  <w:pPr>
                    <w:pStyle w:val="52"/>
                    <w:widowControl w:val="0"/>
                    <w:autoSpaceDE w:val="0"/>
                    <w:autoSpaceDN w:val="0"/>
                    <w:spacing w:before="0" w:after="0"/>
                    <w:ind w:left="194" w:firstLine="42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密度（</w:t>
                  </w:r>
                  <w:r>
                    <w:rPr>
                      <w:rFonts w:asciiTheme="minorEastAsia" w:hAnsiTheme="minorEastAsia" w:eastAsiaTheme="minorEastAsia"/>
                      <w:spacing w:val="-1"/>
                      <w:sz w:val="21"/>
                      <w:szCs w:val="21"/>
                      <w:lang w:eastAsia="zh-CN"/>
                    </w:rPr>
                    <w:t>kg/m</w:t>
                  </w:r>
                  <w:r>
                    <w:rPr>
                      <w:rFonts w:asciiTheme="minorEastAsia" w:hAnsiTheme="minorEastAsia" w:eastAsiaTheme="minorEastAsia"/>
                      <w:spacing w:val="-1"/>
                      <w:sz w:val="21"/>
                      <w:szCs w:val="21"/>
                      <w:vertAlign w:val="superscript"/>
                      <w:lang w:val="en-US" w:eastAsia="zh-CN"/>
                    </w:rPr>
                    <w:t>3</w:t>
                  </w:r>
                  <w:r>
                    <w:rPr>
                      <w:rFonts w:asciiTheme="minorEastAsia" w:hAnsiTheme="minorEastAsia" w:eastAsiaTheme="minorEastAsia"/>
                      <w:sz w:val="21"/>
                      <w:szCs w:val="21"/>
                      <w:lang w:eastAsia="zh-CN"/>
                    </w:rPr>
                    <w:t>）</w:t>
                  </w:r>
                </w:p>
                <w:p>
                  <w:pPr>
                    <w:pStyle w:val="52"/>
                    <w:widowControl w:val="0"/>
                    <w:autoSpaceDE w:val="0"/>
                    <w:autoSpaceDN w:val="0"/>
                    <w:spacing w:before="0" w:after="0"/>
                    <w:ind w:firstLine="420"/>
                    <w:jc w:val="left"/>
                    <w:rPr>
                      <w:rFonts w:asciiTheme="minorEastAsia" w:hAnsiTheme="minorEastAsia" w:eastAsiaTheme="minorEastAsia"/>
                      <w:sz w:val="21"/>
                      <w:szCs w:val="21"/>
                      <w:lang w:eastAsia="zh-CN"/>
                    </w:rPr>
                  </w:pPr>
                </w:p>
                <w:p>
                  <w:pPr>
                    <w:widowControl w:val="0"/>
                    <w:spacing w:line="240" w:lineRule="auto"/>
                    <w:ind w:firstLine="420"/>
                    <w:jc w:val="center"/>
                    <w:rPr>
                      <w:rFonts w:asciiTheme="minorEastAsia" w:hAnsiTheme="minorEastAsia" w:eastAsiaTheme="minorEastAsia"/>
                      <w:sz w:val="21"/>
                      <w:szCs w:val="21"/>
                    </w:rPr>
                  </w:pPr>
                </w:p>
              </w:tc>
              <w:tc>
                <w:tcPr>
                  <w:tcW w:w="1830" w:type="dxa"/>
                </w:tcPr>
                <w:p>
                  <w:pPr>
                    <w:pStyle w:val="52"/>
                    <w:widowControl w:val="0"/>
                    <w:autoSpaceDE w:val="0"/>
                    <w:autoSpaceDN w:val="0"/>
                    <w:spacing w:before="0" w:after="0"/>
                    <w:ind w:firstLine="420"/>
                    <w:jc w:val="left"/>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闪点（℃）</w:t>
                  </w:r>
                  <w:r>
                    <w:rPr>
                      <w:rFonts w:asciiTheme="minorEastAsia" w:hAnsiTheme="minorEastAsia" w:eastAsiaTheme="minorEastAsia"/>
                      <w:spacing w:val="-1"/>
                      <w:sz w:val="21"/>
                      <w:szCs w:val="21"/>
                      <w:lang w:eastAsia="zh-CN"/>
                    </w:rPr>
                    <w:t>(</w:t>
                  </w:r>
                  <w:r>
                    <w:rPr>
                      <w:rFonts w:asciiTheme="minorEastAsia" w:hAnsiTheme="minorEastAsia" w:eastAsiaTheme="minorEastAsia"/>
                      <w:sz w:val="21"/>
                      <w:szCs w:val="21"/>
                      <w:lang w:eastAsia="zh-CN"/>
                    </w:rPr>
                    <w:t>闭口)</w:t>
                  </w:r>
                </w:p>
                <w:p>
                  <w:pPr>
                    <w:pStyle w:val="52"/>
                    <w:widowControl w:val="0"/>
                    <w:autoSpaceDE w:val="0"/>
                    <w:autoSpaceDN w:val="0"/>
                    <w:spacing w:before="0" w:after="0"/>
                    <w:ind w:firstLine="420"/>
                    <w:jc w:val="left"/>
                    <w:rPr>
                      <w:rFonts w:asciiTheme="minorEastAsia" w:hAnsiTheme="minorEastAsia" w:eastAsiaTheme="minorEastAsia"/>
                      <w:sz w:val="21"/>
                      <w:szCs w:val="21"/>
                      <w:lang w:eastAsia="zh-CN"/>
                    </w:rPr>
                  </w:pPr>
                </w:p>
                <w:p>
                  <w:pPr>
                    <w:widowControl w:val="0"/>
                    <w:spacing w:line="24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0" w:type="dxa"/>
                </w:tcPr>
                <w:p>
                  <w:pPr>
                    <w:widowControl w:val="0"/>
                    <w:spacing w:line="240" w:lineRule="auto"/>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320" w:type="dxa"/>
                </w:tcPr>
                <w:p>
                  <w:pPr>
                    <w:pStyle w:val="52"/>
                    <w:widowControl w:val="0"/>
                    <w:autoSpaceDE w:val="0"/>
                    <w:autoSpaceDN w:val="0"/>
                    <w:spacing w:before="0" w:after="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LNG</w:t>
                  </w:r>
                </w:p>
                <w:p>
                  <w:pPr>
                    <w:widowControl w:val="0"/>
                    <w:spacing w:line="240" w:lineRule="auto"/>
                    <w:ind w:firstLine="420"/>
                    <w:jc w:val="center"/>
                    <w:rPr>
                      <w:rFonts w:asciiTheme="minorEastAsia" w:hAnsiTheme="minorEastAsia" w:eastAsiaTheme="minorEastAsia"/>
                      <w:sz w:val="21"/>
                      <w:szCs w:val="21"/>
                    </w:rPr>
                  </w:pPr>
                </w:p>
              </w:tc>
              <w:tc>
                <w:tcPr>
                  <w:tcW w:w="2520" w:type="dxa"/>
                </w:tcPr>
                <w:p>
                  <w:pPr>
                    <w:widowControl w:val="0"/>
                    <w:spacing w:line="24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426～470</w:t>
                  </w:r>
                </w:p>
              </w:tc>
              <w:tc>
                <w:tcPr>
                  <w:tcW w:w="1830" w:type="dxa"/>
                </w:tcPr>
                <w:p>
                  <w:pPr>
                    <w:widowControl w:val="0"/>
                    <w:spacing w:line="24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0" w:type="dxa"/>
                </w:tcPr>
                <w:p>
                  <w:pPr>
                    <w:widowControl w:val="0"/>
                    <w:spacing w:line="240" w:lineRule="auto"/>
                    <w:ind w:firstLine="0" w:firstLineChars="0"/>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320" w:type="dxa"/>
                </w:tcPr>
                <w:p>
                  <w:pPr>
                    <w:pStyle w:val="52"/>
                    <w:widowControl w:val="0"/>
                    <w:autoSpaceDE w:val="0"/>
                    <w:autoSpaceDN w:val="0"/>
                    <w:spacing w:before="0" w:after="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CNG</w:t>
                  </w:r>
                </w:p>
                <w:p>
                  <w:pPr>
                    <w:widowControl w:val="0"/>
                    <w:spacing w:line="240" w:lineRule="auto"/>
                    <w:ind w:firstLine="420"/>
                    <w:jc w:val="center"/>
                    <w:rPr>
                      <w:rFonts w:asciiTheme="minorEastAsia" w:hAnsiTheme="minorEastAsia" w:eastAsiaTheme="minorEastAsia"/>
                      <w:sz w:val="21"/>
                      <w:szCs w:val="21"/>
                    </w:rPr>
                  </w:pPr>
                </w:p>
              </w:tc>
              <w:tc>
                <w:tcPr>
                  <w:tcW w:w="2520" w:type="dxa"/>
                </w:tcPr>
                <w:p>
                  <w:pPr>
                    <w:pStyle w:val="52"/>
                    <w:widowControl w:val="0"/>
                    <w:autoSpaceDE w:val="0"/>
                    <w:autoSpaceDN w:val="0"/>
                    <w:spacing w:before="0" w:after="0"/>
                    <w:ind w:firstLine="42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0.7～0.78</w:t>
                  </w:r>
                </w:p>
                <w:p>
                  <w:pPr>
                    <w:pStyle w:val="52"/>
                    <w:widowControl w:val="0"/>
                    <w:autoSpaceDE w:val="0"/>
                    <w:autoSpaceDN w:val="0"/>
                    <w:spacing w:before="0" w:after="0"/>
                    <w:ind w:firstLine="420"/>
                    <w:jc w:val="left"/>
                    <w:rPr>
                      <w:rFonts w:asciiTheme="minorEastAsia" w:hAnsiTheme="minorEastAsia" w:eastAsiaTheme="minorEastAsia"/>
                      <w:sz w:val="21"/>
                      <w:szCs w:val="21"/>
                      <w:lang w:eastAsia="zh-CN"/>
                    </w:rPr>
                  </w:pPr>
                </w:p>
                <w:p>
                  <w:pPr>
                    <w:widowControl w:val="0"/>
                    <w:spacing w:line="240" w:lineRule="auto"/>
                    <w:ind w:firstLine="420"/>
                    <w:jc w:val="center"/>
                    <w:rPr>
                      <w:rFonts w:asciiTheme="minorEastAsia" w:hAnsiTheme="minorEastAsia" w:eastAsiaTheme="minorEastAsia"/>
                      <w:sz w:val="21"/>
                      <w:szCs w:val="21"/>
                    </w:rPr>
                  </w:pPr>
                </w:p>
              </w:tc>
              <w:tc>
                <w:tcPr>
                  <w:tcW w:w="1830" w:type="dxa"/>
                </w:tcPr>
                <w:p>
                  <w:pPr>
                    <w:widowControl w:val="0"/>
                    <w:spacing w:line="24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-188</w:t>
                  </w:r>
                </w:p>
              </w:tc>
            </w:tr>
          </w:tbl>
          <w:p>
            <w:pPr>
              <w:widowControl w:val="0"/>
              <w:ind w:firstLine="0" w:firstLineChars="0"/>
              <w:jc w:val="both"/>
            </w:pPr>
          </w:p>
          <w:p>
            <w:pPr>
              <w:pStyle w:val="27"/>
              <w:widowControl w:val="0"/>
              <w:jc w:val="both"/>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2.4、本项目主要生产设备</w:t>
            </w:r>
          </w:p>
          <w:p>
            <w:pPr>
              <w:widowControl w:val="0"/>
              <w:ind w:firstLine="0" w:firstLineChars="0"/>
              <w:jc w:val="center"/>
              <w:rPr>
                <w:b/>
                <w:color w:val="FF0000"/>
                <w:sz w:val="21"/>
                <w:szCs w:val="21"/>
              </w:rPr>
            </w:pPr>
            <w:r>
              <w:rPr>
                <w:rFonts w:hint="eastAsia" w:asciiTheme="minorEastAsia" w:hAnsiTheme="minorEastAsia" w:eastAsiaTheme="minorEastAsia" w:cstheme="minorEastAsia"/>
                <w:b/>
                <w:bCs/>
                <w:sz w:val="21"/>
                <w:szCs w:val="21"/>
              </w:rPr>
              <w:t>表2-</w:t>
            </w:r>
            <w:r>
              <w:rPr>
                <w:rFonts w:asciiTheme="minorEastAsia" w:hAnsiTheme="minorEastAsia" w:eastAsiaTheme="minorEastAsia" w:cstheme="minorEastAsia"/>
                <w:b/>
                <w:bCs/>
                <w:sz w:val="21"/>
                <w:szCs w:val="21"/>
              </w:rPr>
              <w:t xml:space="preserve">5 </w:t>
            </w:r>
            <w:r>
              <w:rPr>
                <w:rFonts w:hint="eastAsia" w:asciiTheme="minorEastAsia" w:hAnsiTheme="minorEastAsia" w:eastAsiaTheme="minorEastAsia" w:cstheme="minorEastAsia"/>
                <w:b/>
                <w:bCs/>
                <w:sz w:val="21"/>
                <w:szCs w:val="21"/>
              </w:rPr>
              <w:t>本项目主要生产设备一览表</w:t>
            </w:r>
          </w:p>
          <w:tbl>
            <w:tblPr>
              <w:tblStyle w:val="22"/>
              <w:tblW w:w="81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1"/>
              <w:gridCol w:w="2718"/>
              <w:gridCol w:w="1134"/>
              <w:gridCol w:w="1276"/>
              <w:gridCol w:w="1417"/>
              <w:gridCol w:w="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Ansi="宋体"/>
                      <w:sz w:val="21"/>
                      <w:szCs w:val="21"/>
                    </w:rPr>
                    <w:t>序号</w:t>
                  </w:r>
                </w:p>
              </w:tc>
              <w:tc>
                <w:tcPr>
                  <w:tcW w:w="2718" w:type="dxa"/>
                  <w:vAlign w:val="center"/>
                </w:tcPr>
                <w:p>
                  <w:pPr>
                    <w:spacing w:line="240" w:lineRule="auto"/>
                    <w:ind w:firstLine="0" w:firstLineChars="0"/>
                    <w:jc w:val="center"/>
                    <w:rPr>
                      <w:sz w:val="21"/>
                      <w:szCs w:val="21"/>
                    </w:rPr>
                  </w:pPr>
                  <w:r>
                    <w:rPr>
                      <w:rFonts w:hAnsi="宋体"/>
                      <w:sz w:val="21"/>
                      <w:szCs w:val="21"/>
                    </w:rPr>
                    <w:t>设备名称</w:t>
                  </w:r>
                </w:p>
              </w:tc>
              <w:tc>
                <w:tcPr>
                  <w:tcW w:w="1134" w:type="dxa"/>
                  <w:vAlign w:val="center"/>
                </w:tcPr>
                <w:p>
                  <w:pPr>
                    <w:spacing w:line="240" w:lineRule="auto"/>
                    <w:ind w:firstLine="0" w:firstLineChars="0"/>
                    <w:jc w:val="center"/>
                    <w:rPr>
                      <w:sz w:val="21"/>
                      <w:szCs w:val="21"/>
                    </w:rPr>
                  </w:pPr>
                  <w:r>
                    <w:rPr>
                      <w:rFonts w:hAnsi="宋体"/>
                      <w:sz w:val="21"/>
                      <w:szCs w:val="21"/>
                    </w:rPr>
                    <w:t>规格型号</w:t>
                  </w:r>
                </w:p>
              </w:tc>
              <w:tc>
                <w:tcPr>
                  <w:tcW w:w="1276" w:type="dxa"/>
                  <w:vAlign w:val="center"/>
                </w:tcPr>
                <w:p>
                  <w:pPr>
                    <w:ind w:firstLine="0" w:firstLineChars="0"/>
                    <w:jc w:val="center"/>
                    <w:rPr>
                      <w:sz w:val="21"/>
                      <w:szCs w:val="21"/>
                    </w:rPr>
                  </w:pPr>
                  <w:r>
                    <w:rPr>
                      <w:rFonts w:hint="eastAsia" w:hAnsi="宋体"/>
                      <w:sz w:val="21"/>
                      <w:szCs w:val="21"/>
                    </w:rPr>
                    <w:t>原设计</w:t>
                  </w:r>
                  <w:r>
                    <w:rPr>
                      <w:rFonts w:hAnsi="宋体"/>
                      <w:sz w:val="21"/>
                      <w:szCs w:val="21"/>
                    </w:rPr>
                    <w:t>数量</w:t>
                  </w:r>
                </w:p>
              </w:tc>
              <w:tc>
                <w:tcPr>
                  <w:tcW w:w="1417" w:type="dxa"/>
                  <w:vAlign w:val="center"/>
                </w:tcPr>
                <w:p>
                  <w:pPr>
                    <w:ind w:firstLine="0" w:firstLineChars="0"/>
                    <w:jc w:val="center"/>
                    <w:rPr>
                      <w:rFonts w:hAnsi="宋体"/>
                      <w:sz w:val="21"/>
                      <w:szCs w:val="21"/>
                    </w:rPr>
                  </w:pPr>
                  <w:r>
                    <w:rPr>
                      <w:rFonts w:hint="eastAsia" w:hAnsi="宋体"/>
                      <w:sz w:val="21"/>
                      <w:szCs w:val="21"/>
                    </w:rPr>
                    <w:t>现在用数量</w:t>
                  </w:r>
                </w:p>
              </w:tc>
              <w:tc>
                <w:tcPr>
                  <w:tcW w:w="985" w:type="dxa"/>
                  <w:vAlign w:val="center"/>
                </w:tcPr>
                <w:p>
                  <w:pPr>
                    <w:ind w:firstLine="0" w:firstLineChars="0"/>
                    <w:jc w:val="center"/>
                    <w:rPr>
                      <w:rFonts w:hAnsi="宋体"/>
                      <w:sz w:val="21"/>
                      <w:szCs w:val="21"/>
                    </w:rPr>
                  </w:pPr>
                  <w:r>
                    <w:rPr>
                      <w:rFonts w:hint="eastAsia" w:hAnsi="宋体"/>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p>
              </w:tc>
              <w:tc>
                <w:tcPr>
                  <w:tcW w:w="2718" w:type="dxa"/>
                  <w:tcBorders>
                    <w:top w:val="single" w:color="auto" w:sz="4" w:space="0"/>
                  </w:tcBorders>
                  <w:vAlign w:val="center"/>
                </w:tcPr>
                <w:p>
                  <w:pPr>
                    <w:spacing w:line="240" w:lineRule="auto"/>
                    <w:ind w:firstLine="0" w:firstLineChars="0"/>
                    <w:rPr>
                      <w:sz w:val="21"/>
                      <w:szCs w:val="21"/>
                    </w:rPr>
                  </w:pPr>
                  <w:r>
                    <w:rPr>
                      <w:rFonts w:hint="eastAsia"/>
                      <w:sz w:val="21"/>
                      <w:szCs w:val="21"/>
                    </w:rPr>
                    <w:t>双枪双油品潜油泵加油机</w:t>
                  </w:r>
                </w:p>
              </w:tc>
              <w:tc>
                <w:tcPr>
                  <w:tcW w:w="1134" w:type="dxa"/>
                  <w:vAlign w:val="center"/>
                </w:tcPr>
                <w:p>
                  <w:pPr>
                    <w:spacing w:line="240" w:lineRule="auto"/>
                    <w:ind w:firstLine="420"/>
                    <w:jc w:val="center"/>
                    <w:rPr>
                      <w:color w:val="0000FF"/>
                      <w:sz w:val="21"/>
                      <w:szCs w:val="21"/>
                    </w:rPr>
                  </w:pPr>
                  <w:r>
                    <w:rPr>
                      <w:rFonts w:hint="eastAsia"/>
                      <w:sz w:val="21"/>
                      <w:szCs w:val="21"/>
                    </w:rPr>
                    <w:t>/</w:t>
                  </w:r>
                </w:p>
              </w:tc>
              <w:tc>
                <w:tcPr>
                  <w:tcW w:w="1276" w:type="dxa"/>
                  <w:vAlign w:val="center"/>
                </w:tcPr>
                <w:p>
                  <w:pPr>
                    <w:spacing w:line="320" w:lineRule="exact"/>
                    <w:ind w:firstLine="420"/>
                    <w:rPr>
                      <w:sz w:val="21"/>
                      <w:szCs w:val="21"/>
                    </w:rPr>
                  </w:pPr>
                  <w:r>
                    <w:rPr>
                      <w:rFonts w:hint="eastAsia"/>
                      <w:sz w:val="21"/>
                      <w:szCs w:val="21"/>
                    </w:rPr>
                    <w:t>4台</w:t>
                  </w:r>
                </w:p>
              </w:tc>
              <w:tc>
                <w:tcPr>
                  <w:tcW w:w="1417" w:type="dxa"/>
                  <w:vAlign w:val="center"/>
                </w:tcPr>
                <w:p>
                  <w:pPr>
                    <w:spacing w:line="320" w:lineRule="exact"/>
                    <w:ind w:firstLine="420"/>
                    <w:rPr>
                      <w:sz w:val="21"/>
                      <w:szCs w:val="21"/>
                    </w:rPr>
                  </w:pPr>
                  <w:r>
                    <w:rPr>
                      <w:rFonts w:hint="eastAsia"/>
                      <w:sz w:val="21"/>
                      <w:szCs w:val="21"/>
                    </w:rPr>
                    <w:t>4台</w:t>
                  </w:r>
                </w:p>
              </w:tc>
              <w:tc>
                <w:tcPr>
                  <w:tcW w:w="985" w:type="dxa"/>
                  <w:vMerge w:val="restart"/>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2</w:t>
                  </w:r>
                </w:p>
              </w:tc>
              <w:tc>
                <w:tcPr>
                  <w:tcW w:w="2718" w:type="dxa"/>
                  <w:vAlign w:val="center"/>
                </w:tcPr>
                <w:p>
                  <w:pPr>
                    <w:spacing w:line="240" w:lineRule="auto"/>
                    <w:ind w:firstLine="0" w:firstLineChars="0"/>
                    <w:rPr>
                      <w:sz w:val="21"/>
                      <w:szCs w:val="21"/>
                    </w:rPr>
                  </w:pPr>
                  <w:r>
                    <w:rPr>
                      <w:rFonts w:hint="eastAsia"/>
                      <w:sz w:val="21"/>
                      <w:szCs w:val="21"/>
                    </w:rPr>
                    <w:t>汽油储罐</w:t>
                  </w:r>
                </w:p>
              </w:tc>
              <w:tc>
                <w:tcPr>
                  <w:tcW w:w="1134" w:type="dxa"/>
                  <w:vAlign w:val="center"/>
                </w:tcPr>
                <w:p>
                  <w:pPr>
                    <w:spacing w:line="240" w:lineRule="auto"/>
                    <w:ind w:firstLine="0" w:firstLineChars="0"/>
                    <w:rPr>
                      <w:color w:val="0000FF"/>
                      <w:sz w:val="21"/>
                      <w:szCs w:val="21"/>
                    </w:rPr>
                  </w:pPr>
                  <w:r>
                    <w:rPr>
                      <w:rFonts w:hint="eastAsia"/>
                      <w:sz w:val="21"/>
                      <w:szCs w:val="21"/>
                    </w:rPr>
                    <w:t>30</w:t>
                  </w:r>
                  <w:r>
                    <w:rPr>
                      <w:rFonts w:hint="eastAsia"/>
                      <w:sz w:val="21"/>
                      <w:szCs w:val="21"/>
                      <w:lang w:val="zh-CN"/>
                    </w:rPr>
                    <w:t>m</w:t>
                  </w:r>
                  <w:r>
                    <w:rPr>
                      <w:rFonts w:hint="eastAsia"/>
                      <w:sz w:val="21"/>
                      <w:szCs w:val="21"/>
                      <w:vertAlign w:val="superscript"/>
                    </w:rPr>
                    <w:t>3</w:t>
                  </w:r>
                </w:p>
              </w:tc>
              <w:tc>
                <w:tcPr>
                  <w:tcW w:w="1276" w:type="dxa"/>
                  <w:vAlign w:val="center"/>
                </w:tcPr>
                <w:p>
                  <w:pPr>
                    <w:spacing w:line="320" w:lineRule="exact"/>
                    <w:ind w:firstLine="420"/>
                    <w:rPr>
                      <w:sz w:val="21"/>
                      <w:szCs w:val="21"/>
                    </w:rPr>
                  </w:pPr>
                  <w:r>
                    <w:rPr>
                      <w:rFonts w:hint="eastAsia"/>
                      <w:sz w:val="21"/>
                      <w:szCs w:val="21"/>
                    </w:rPr>
                    <w:t>2只</w:t>
                  </w:r>
                </w:p>
              </w:tc>
              <w:tc>
                <w:tcPr>
                  <w:tcW w:w="1417" w:type="dxa"/>
                  <w:vAlign w:val="center"/>
                </w:tcPr>
                <w:p>
                  <w:pPr>
                    <w:spacing w:line="320" w:lineRule="exact"/>
                    <w:ind w:firstLine="420"/>
                    <w:rPr>
                      <w:sz w:val="21"/>
                      <w:szCs w:val="21"/>
                    </w:rPr>
                  </w:pPr>
                  <w:r>
                    <w:rPr>
                      <w:rFonts w:hint="eastAsia"/>
                      <w:sz w:val="21"/>
                      <w:szCs w:val="21"/>
                    </w:rPr>
                    <w:t>2只</w:t>
                  </w:r>
                </w:p>
              </w:tc>
              <w:tc>
                <w:tcPr>
                  <w:tcW w:w="985" w:type="dxa"/>
                  <w:vMerge w:val="continue"/>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3</w:t>
                  </w:r>
                </w:p>
              </w:tc>
              <w:tc>
                <w:tcPr>
                  <w:tcW w:w="2718" w:type="dxa"/>
                  <w:vAlign w:val="center"/>
                </w:tcPr>
                <w:p>
                  <w:pPr>
                    <w:spacing w:line="240" w:lineRule="auto"/>
                    <w:ind w:firstLine="0" w:firstLineChars="0"/>
                    <w:rPr>
                      <w:sz w:val="21"/>
                      <w:szCs w:val="21"/>
                    </w:rPr>
                  </w:pPr>
                  <w:r>
                    <w:rPr>
                      <w:rFonts w:hint="eastAsia"/>
                      <w:sz w:val="21"/>
                      <w:szCs w:val="21"/>
                    </w:rPr>
                    <w:t>柴油储罐</w:t>
                  </w:r>
                </w:p>
              </w:tc>
              <w:tc>
                <w:tcPr>
                  <w:tcW w:w="1134" w:type="dxa"/>
                  <w:vAlign w:val="center"/>
                </w:tcPr>
                <w:p>
                  <w:pPr>
                    <w:spacing w:line="240" w:lineRule="auto"/>
                    <w:ind w:firstLine="0" w:firstLineChars="0"/>
                    <w:rPr>
                      <w:color w:val="0000FF"/>
                      <w:sz w:val="21"/>
                      <w:szCs w:val="21"/>
                    </w:rPr>
                  </w:pPr>
                  <w:r>
                    <w:rPr>
                      <w:rFonts w:hint="eastAsia"/>
                      <w:sz w:val="21"/>
                      <w:szCs w:val="21"/>
                    </w:rPr>
                    <w:t>30</w:t>
                  </w:r>
                  <w:r>
                    <w:rPr>
                      <w:rFonts w:hint="eastAsia"/>
                      <w:sz w:val="21"/>
                      <w:szCs w:val="21"/>
                      <w:lang w:val="zh-CN"/>
                    </w:rPr>
                    <w:t>m</w:t>
                  </w:r>
                  <w:r>
                    <w:rPr>
                      <w:rFonts w:hint="eastAsia"/>
                      <w:sz w:val="21"/>
                      <w:szCs w:val="21"/>
                      <w:vertAlign w:val="superscript"/>
                    </w:rPr>
                    <w:t>3</w:t>
                  </w:r>
                </w:p>
              </w:tc>
              <w:tc>
                <w:tcPr>
                  <w:tcW w:w="1276" w:type="dxa"/>
                  <w:vAlign w:val="center"/>
                </w:tcPr>
                <w:p>
                  <w:pPr>
                    <w:spacing w:line="320" w:lineRule="exact"/>
                    <w:ind w:firstLine="420"/>
                    <w:rPr>
                      <w:sz w:val="21"/>
                      <w:szCs w:val="21"/>
                    </w:rPr>
                  </w:pPr>
                  <w:r>
                    <w:rPr>
                      <w:rFonts w:hint="eastAsia"/>
                      <w:sz w:val="21"/>
                      <w:szCs w:val="21"/>
                    </w:rPr>
                    <w:t>2只</w:t>
                  </w:r>
                </w:p>
              </w:tc>
              <w:tc>
                <w:tcPr>
                  <w:tcW w:w="1417" w:type="dxa"/>
                  <w:vAlign w:val="center"/>
                </w:tcPr>
                <w:p>
                  <w:pPr>
                    <w:spacing w:line="320" w:lineRule="exact"/>
                    <w:ind w:firstLine="420"/>
                    <w:rPr>
                      <w:sz w:val="21"/>
                      <w:szCs w:val="21"/>
                    </w:rPr>
                  </w:pPr>
                  <w:r>
                    <w:rPr>
                      <w:rFonts w:hint="eastAsia"/>
                      <w:sz w:val="21"/>
                      <w:szCs w:val="21"/>
                    </w:rPr>
                    <w:t>2只</w:t>
                  </w:r>
                </w:p>
              </w:tc>
              <w:tc>
                <w:tcPr>
                  <w:tcW w:w="985" w:type="dxa"/>
                  <w:vMerge w:val="continue"/>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4</w:t>
                  </w:r>
                </w:p>
              </w:tc>
              <w:tc>
                <w:tcPr>
                  <w:tcW w:w="2718" w:type="dxa"/>
                  <w:vAlign w:val="center"/>
                </w:tcPr>
                <w:p>
                  <w:pPr>
                    <w:spacing w:line="240" w:lineRule="auto"/>
                    <w:ind w:firstLine="0" w:firstLineChars="0"/>
                    <w:rPr>
                      <w:sz w:val="21"/>
                      <w:szCs w:val="21"/>
                    </w:rPr>
                  </w:pPr>
                  <w:r>
                    <w:rPr>
                      <w:bCs/>
                      <w:sz w:val="21"/>
                      <w:szCs w:val="21"/>
                    </w:rPr>
                    <w:t>半地下LNG 低温储罐</w:t>
                  </w:r>
                </w:p>
              </w:tc>
              <w:tc>
                <w:tcPr>
                  <w:tcW w:w="1134" w:type="dxa"/>
                  <w:vAlign w:val="center"/>
                </w:tcPr>
                <w:p>
                  <w:pPr>
                    <w:spacing w:line="240" w:lineRule="auto"/>
                    <w:ind w:firstLine="0" w:firstLineChars="0"/>
                    <w:rPr>
                      <w:color w:val="0000FF"/>
                      <w:sz w:val="21"/>
                      <w:szCs w:val="21"/>
                    </w:rPr>
                  </w:pPr>
                  <w:r>
                    <w:rPr>
                      <w:rFonts w:hint="eastAsia"/>
                      <w:sz w:val="21"/>
                      <w:szCs w:val="21"/>
                    </w:rPr>
                    <w:t>60</w:t>
                  </w:r>
                  <w:r>
                    <w:rPr>
                      <w:rFonts w:hint="eastAsia"/>
                      <w:sz w:val="21"/>
                      <w:szCs w:val="21"/>
                      <w:lang w:val="zh-CN"/>
                    </w:rPr>
                    <w:t>m</w:t>
                  </w:r>
                  <w:r>
                    <w:rPr>
                      <w:rFonts w:hint="eastAsia"/>
                      <w:sz w:val="21"/>
                      <w:szCs w:val="21"/>
                      <w:vertAlign w:val="superscript"/>
                    </w:rPr>
                    <w:t>3</w:t>
                  </w:r>
                </w:p>
              </w:tc>
              <w:tc>
                <w:tcPr>
                  <w:tcW w:w="1276" w:type="dxa"/>
                  <w:vAlign w:val="center"/>
                </w:tcPr>
                <w:p>
                  <w:pPr>
                    <w:spacing w:line="320" w:lineRule="exact"/>
                    <w:ind w:firstLine="420"/>
                    <w:rPr>
                      <w:sz w:val="21"/>
                      <w:szCs w:val="21"/>
                    </w:rPr>
                  </w:pPr>
                  <w:r>
                    <w:rPr>
                      <w:bCs/>
                      <w:sz w:val="21"/>
                      <w:szCs w:val="21"/>
                    </w:rPr>
                    <w:t>1</w:t>
                  </w:r>
                  <w:r>
                    <w:rPr>
                      <w:rFonts w:hint="eastAsia"/>
                      <w:bCs/>
                      <w:sz w:val="21"/>
                      <w:szCs w:val="21"/>
                    </w:rPr>
                    <w:t>台</w:t>
                  </w:r>
                </w:p>
              </w:tc>
              <w:tc>
                <w:tcPr>
                  <w:tcW w:w="1417" w:type="dxa"/>
                  <w:vAlign w:val="center"/>
                </w:tcPr>
                <w:p>
                  <w:pPr>
                    <w:spacing w:line="320" w:lineRule="exact"/>
                    <w:ind w:firstLine="420"/>
                    <w:rPr>
                      <w:sz w:val="21"/>
                      <w:szCs w:val="21"/>
                    </w:rPr>
                  </w:pPr>
                  <w:r>
                    <w:rPr>
                      <w:bCs/>
                      <w:sz w:val="21"/>
                      <w:szCs w:val="21"/>
                    </w:rPr>
                    <w:t>1</w:t>
                  </w:r>
                  <w:r>
                    <w:rPr>
                      <w:rFonts w:hint="eastAsia"/>
                      <w:bCs/>
                      <w:sz w:val="21"/>
                      <w:szCs w:val="21"/>
                    </w:rPr>
                    <w:t>台</w:t>
                  </w:r>
                </w:p>
              </w:tc>
              <w:tc>
                <w:tcPr>
                  <w:tcW w:w="985" w:type="dxa"/>
                  <w:vMerge w:val="continue"/>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5</w:t>
                  </w:r>
                </w:p>
              </w:tc>
              <w:tc>
                <w:tcPr>
                  <w:tcW w:w="2718" w:type="dxa"/>
                  <w:vAlign w:val="center"/>
                </w:tcPr>
                <w:p>
                  <w:pPr>
                    <w:spacing w:line="240" w:lineRule="auto"/>
                    <w:ind w:firstLine="0" w:firstLineChars="0"/>
                    <w:rPr>
                      <w:rFonts w:ascii="宋体" w:hAnsi="宋体" w:cs="宋体"/>
                      <w:sz w:val="21"/>
                      <w:szCs w:val="21"/>
                    </w:rPr>
                  </w:pPr>
                  <w:r>
                    <w:rPr>
                      <w:sz w:val="21"/>
                      <w:szCs w:val="21"/>
                    </w:rPr>
                    <w:t>CNG加气机</w:t>
                  </w:r>
                </w:p>
              </w:tc>
              <w:tc>
                <w:tcPr>
                  <w:tcW w:w="1134" w:type="dxa"/>
                  <w:vAlign w:val="center"/>
                </w:tcPr>
                <w:p>
                  <w:pPr>
                    <w:spacing w:line="240" w:lineRule="auto"/>
                    <w:ind w:firstLine="0" w:firstLineChars="0"/>
                    <w:rPr>
                      <w:color w:val="0000FF"/>
                      <w:sz w:val="21"/>
                      <w:szCs w:val="21"/>
                    </w:rPr>
                  </w:pPr>
                  <w:r>
                    <w:rPr>
                      <w:rFonts w:hint="eastAsia"/>
                      <w:sz w:val="21"/>
                      <w:szCs w:val="21"/>
                    </w:rPr>
                    <w:t>双枪</w:t>
                  </w:r>
                </w:p>
              </w:tc>
              <w:tc>
                <w:tcPr>
                  <w:tcW w:w="1276" w:type="dxa"/>
                  <w:vAlign w:val="center"/>
                </w:tcPr>
                <w:p>
                  <w:pPr>
                    <w:spacing w:line="320" w:lineRule="exact"/>
                    <w:ind w:firstLine="420"/>
                    <w:rPr>
                      <w:sz w:val="21"/>
                      <w:szCs w:val="21"/>
                    </w:rPr>
                  </w:pPr>
                  <w:r>
                    <w:rPr>
                      <w:rFonts w:hint="eastAsia"/>
                      <w:sz w:val="21"/>
                      <w:szCs w:val="21"/>
                    </w:rPr>
                    <w:t>2台</w:t>
                  </w:r>
                </w:p>
              </w:tc>
              <w:tc>
                <w:tcPr>
                  <w:tcW w:w="1417" w:type="dxa"/>
                  <w:vAlign w:val="center"/>
                </w:tcPr>
                <w:p>
                  <w:pPr>
                    <w:spacing w:line="320" w:lineRule="exact"/>
                    <w:ind w:firstLine="420"/>
                    <w:rPr>
                      <w:sz w:val="21"/>
                      <w:szCs w:val="21"/>
                    </w:rPr>
                  </w:pPr>
                  <w:r>
                    <w:rPr>
                      <w:rFonts w:hint="eastAsia"/>
                      <w:sz w:val="21"/>
                      <w:szCs w:val="21"/>
                    </w:rPr>
                    <w:t>2台</w:t>
                  </w:r>
                </w:p>
              </w:tc>
              <w:tc>
                <w:tcPr>
                  <w:tcW w:w="985" w:type="dxa"/>
                  <w:vMerge w:val="continue"/>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6</w:t>
                  </w:r>
                </w:p>
              </w:tc>
              <w:tc>
                <w:tcPr>
                  <w:tcW w:w="2718" w:type="dxa"/>
                  <w:vAlign w:val="center"/>
                </w:tcPr>
                <w:p>
                  <w:pPr>
                    <w:spacing w:line="240" w:lineRule="auto"/>
                    <w:ind w:firstLine="0" w:firstLineChars="0"/>
                    <w:rPr>
                      <w:rFonts w:ascii="宋体" w:hAnsi="宋体" w:cs="宋体"/>
                      <w:sz w:val="21"/>
                      <w:szCs w:val="21"/>
                    </w:rPr>
                  </w:pPr>
                  <w:r>
                    <w:rPr>
                      <w:sz w:val="21"/>
                      <w:szCs w:val="21"/>
                    </w:rPr>
                    <w:t>LNG加气机</w:t>
                  </w:r>
                </w:p>
              </w:tc>
              <w:tc>
                <w:tcPr>
                  <w:tcW w:w="1134" w:type="dxa"/>
                  <w:vAlign w:val="center"/>
                </w:tcPr>
                <w:p>
                  <w:pPr>
                    <w:spacing w:line="240" w:lineRule="auto"/>
                    <w:ind w:firstLine="0" w:firstLineChars="0"/>
                    <w:rPr>
                      <w:sz w:val="21"/>
                      <w:szCs w:val="21"/>
                    </w:rPr>
                  </w:pPr>
                  <w:r>
                    <w:rPr>
                      <w:rFonts w:hint="eastAsia"/>
                      <w:sz w:val="21"/>
                      <w:szCs w:val="21"/>
                    </w:rPr>
                    <w:t>单枪</w:t>
                  </w:r>
                </w:p>
              </w:tc>
              <w:tc>
                <w:tcPr>
                  <w:tcW w:w="1276" w:type="dxa"/>
                  <w:vAlign w:val="center"/>
                </w:tcPr>
                <w:p>
                  <w:pPr>
                    <w:spacing w:line="320" w:lineRule="exact"/>
                    <w:ind w:firstLine="420"/>
                    <w:rPr>
                      <w:sz w:val="21"/>
                      <w:szCs w:val="21"/>
                    </w:rPr>
                  </w:pPr>
                  <w:r>
                    <w:rPr>
                      <w:rFonts w:hint="eastAsia"/>
                      <w:sz w:val="21"/>
                      <w:szCs w:val="21"/>
                    </w:rPr>
                    <w:t>2台</w:t>
                  </w:r>
                </w:p>
              </w:tc>
              <w:tc>
                <w:tcPr>
                  <w:tcW w:w="1417" w:type="dxa"/>
                  <w:vAlign w:val="center"/>
                </w:tcPr>
                <w:p>
                  <w:pPr>
                    <w:spacing w:line="320" w:lineRule="exact"/>
                    <w:ind w:firstLine="420"/>
                    <w:rPr>
                      <w:sz w:val="21"/>
                      <w:szCs w:val="21"/>
                    </w:rPr>
                  </w:pPr>
                  <w:r>
                    <w:rPr>
                      <w:rFonts w:hint="eastAsia"/>
                      <w:sz w:val="21"/>
                      <w:szCs w:val="21"/>
                    </w:rPr>
                    <w:t>2台</w:t>
                  </w:r>
                </w:p>
              </w:tc>
              <w:tc>
                <w:tcPr>
                  <w:tcW w:w="985" w:type="dxa"/>
                  <w:vMerge w:val="continue"/>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7</w:t>
                  </w:r>
                </w:p>
              </w:tc>
              <w:tc>
                <w:tcPr>
                  <w:tcW w:w="2718" w:type="dxa"/>
                  <w:vAlign w:val="center"/>
                </w:tcPr>
                <w:p>
                  <w:pPr>
                    <w:spacing w:line="240" w:lineRule="auto"/>
                    <w:ind w:firstLine="0" w:firstLineChars="0"/>
                    <w:rPr>
                      <w:rFonts w:ascii="宋体" w:hAnsi="宋体" w:cs="宋体"/>
                      <w:sz w:val="21"/>
                      <w:szCs w:val="21"/>
                    </w:rPr>
                  </w:pPr>
                  <w:r>
                    <w:rPr>
                      <w:rFonts w:hint="eastAsia" w:ascii="宋体" w:hAnsi="宋体" w:cs="宋体"/>
                      <w:sz w:val="21"/>
                      <w:szCs w:val="21"/>
                    </w:rPr>
                    <w:t>柱塞泵橇</w:t>
                  </w:r>
                </w:p>
              </w:tc>
              <w:tc>
                <w:tcPr>
                  <w:tcW w:w="1134" w:type="dxa"/>
                  <w:vAlign w:val="center"/>
                </w:tcPr>
                <w:p>
                  <w:pPr>
                    <w:spacing w:line="240" w:lineRule="auto"/>
                    <w:ind w:firstLine="0" w:firstLineChars="0"/>
                    <w:rPr>
                      <w:sz w:val="21"/>
                      <w:szCs w:val="21"/>
                    </w:rPr>
                  </w:pPr>
                  <w:r>
                    <w:rPr>
                      <w:rFonts w:hint="eastAsia"/>
                      <w:sz w:val="21"/>
                      <w:szCs w:val="21"/>
                    </w:rPr>
                    <w:t>/</w:t>
                  </w:r>
                </w:p>
              </w:tc>
              <w:tc>
                <w:tcPr>
                  <w:tcW w:w="1276" w:type="dxa"/>
                  <w:vAlign w:val="center"/>
                </w:tcPr>
                <w:p>
                  <w:pPr>
                    <w:spacing w:line="320" w:lineRule="exact"/>
                    <w:ind w:firstLine="420"/>
                    <w:rPr>
                      <w:sz w:val="21"/>
                      <w:szCs w:val="21"/>
                    </w:rPr>
                  </w:pPr>
                  <w:r>
                    <w:rPr>
                      <w:rFonts w:hint="eastAsia"/>
                      <w:sz w:val="21"/>
                      <w:szCs w:val="21"/>
                    </w:rPr>
                    <w:t>1座</w:t>
                  </w:r>
                </w:p>
              </w:tc>
              <w:tc>
                <w:tcPr>
                  <w:tcW w:w="1417" w:type="dxa"/>
                  <w:vAlign w:val="center"/>
                </w:tcPr>
                <w:p>
                  <w:pPr>
                    <w:spacing w:line="320" w:lineRule="exact"/>
                    <w:ind w:firstLine="420"/>
                    <w:rPr>
                      <w:sz w:val="21"/>
                      <w:szCs w:val="21"/>
                    </w:rPr>
                  </w:pPr>
                  <w:r>
                    <w:rPr>
                      <w:rFonts w:hint="eastAsia"/>
                      <w:sz w:val="21"/>
                      <w:szCs w:val="21"/>
                    </w:rPr>
                    <w:t>1座</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8</w:t>
                  </w:r>
                </w:p>
              </w:tc>
              <w:tc>
                <w:tcPr>
                  <w:tcW w:w="2718" w:type="dxa"/>
                  <w:vAlign w:val="center"/>
                </w:tcPr>
                <w:p>
                  <w:pPr>
                    <w:spacing w:line="240" w:lineRule="auto"/>
                    <w:ind w:firstLine="0" w:firstLineChars="0"/>
                    <w:rPr>
                      <w:rFonts w:ascii="宋体" w:hAnsi="宋体" w:cs="宋体"/>
                      <w:sz w:val="21"/>
                      <w:szCs w:val="21"/>
                    </w:rPr>
                  </w:pPr>
                  <w:r>
                    <w:rPr>
                      <w:sz w:val="21"/>
                      <w:szCs w:val="21"/>
                    </w:rPr>
                    <w:t>LNG泵撬</w:t>
                  </w:r>
                </w:p>
              </w:tc>
              <w:tc>
                <w:tcPr>
                  <w:tcW w:w="1134" w:type="dxa"/>
                  <w:vAlign w:val="center"/>
                </w:tcPr>
                <w:p>
                  <w:pPr>
                    <w:spacing w:line="240" w:lineRule="auto"/>
                    <w:ind w:firstLine="0" w:firstLineChars="0"/>
                    <w:rPr>
                      <w:sz w:val="21"/>
                      <w:szCs w:val="21"/>
                    </w:rPr>
                  </w:pPr>
                  <w:r>
                    <w:rPr>
                      <w:rFonts w:hint="eastAsia"/>
                      <w:sz w:val="21"/>
                      <w:szCs w:val="21"/>
                    </w:rPr>
                    <w:t>/</w:t>
                  </w:r>
                </w:p>
              </w:tc>
              <w:tc>
                <w:tcPr>
                  <w:tcW w:w="1276" w:type="dxa"/>
                  <w:vAlign w:val="center"/>
                </w:tcPr>
                <w:p>
                  <w:pPr>
                    <w:spacing w:line="320" w:lineRule="exact"/>
                    <w:ind w:firstLine="420"/>
                    <w:rPr>
                      <w:sz w:val="21"/>
                      <w:szCs w:val="21"/>
                    </w:rPr>
                  </w:pPr>
                  <w:r>
                    <w:rPr>
                      <w:rFonts w:hint="eastAsia"/>
                      <w:sz w:val="21"/>
                      <w:szCs w:val="21"/>
                    </w:rPr>
                    <w:t>1座</w:t>
                  </w:r>
                </w:p>
              </w:tc>
              <w:tc>
                <w:tcPr>
                  <w:tcW w:w="1417" w:type="dxa"/>
                  <w:vAlign w:val="center"/>
                </w:tcPr>
                <w:p>
                  <w:pPr>
                    <w:spacing w:line="320" w:lineRule="exact"/>
                    <w:ind w:firstLine="420"/>
                    <w:rPr>
                      <w:sz w:val="21"/>
                      <w:szCs w:val="21"/>
                    </w:rPr>
                  </w:pPr>
                  <w:r>
                    <w:rPr>
                      <w:rFonts w:hint="eastAsia"/>
                      <w:sz w:val="21"/>
                      <w:szCs w:val="21"/>
                    </w:rPr>
                    <w:t>1座</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9</w:t>
                  </w:r>
                </w:p>
              </w:tc>
              <w:tc>
                <w:tcPr>
                  <w:tcW w:w="2718" w:type="dxa"/>
                  <w:vAlign w:val="center"/>
                </w:tcPr>
                <w:p>
                  <w:pPr>
                    <w:spacing w:line="240" w:lineRule="auto"/>
                    <w:ind w:firstLine="0" w:firstLineChars="0"/>
                    <w:rPr>
                      <w:rFonts w:ascii="宋体" w:hAnsi="宋体" w:cs="宋体"/>
                      <w:sz w:val="21"/>
                      <w:szCs w:val="21"/>
                    </w:rPr>
                  </w:pPr>
                  <w:r>
                    <w:rPr>
                      <w:sz w:val="21"/>
                      <w:szCs w:val="21"/>
                    </w:rPr>
                    <w:t>高压汽化器橇</w:t>
                  </w:r>
                </w:p>
              </w:tc>
              <w:tc>
                <w:tcPr>
                  <w:tcW w:w="1134" w:type="dxa"/>
                  <w:vAlign w:val="center"/>
                </w:tcPr>
                <w:p>
                  <w:pPr>
                    <w:spacing w:line="240" w:lineRule="auto"/>
                    <w:ind w:firstLine="0" w:firstLineChars="0"/>
                    <w:rPr>
                      <w:sz w:val="21"/>
                      <w:szCs w:val="21"/>
                    </w:rPr>
                  </w:pPr>
                  <w:r>
                    <w:rPr>
                      <w:rFonts w:hint="eastAsia"/>
                      <w:sz w:val="21"/>
                      <w:szCs w:val="21"/>
                    </w:rPr>
                    <w:t>/</w:t>
                  </w:r>
                </w:p>
              </w:tc>
              <w:tc>
                <w:tcPr>
                  <w:tcW w:w="1276" w:type="dxa"/>
                  <w:vAlign w:val="center"/>
                </w:tcPr>
                <w:p>
                  <w:pPr>
                    <w:spacing w:line="320" w:lineRule="exact"/>
                    <w:ind w:firstLine="420"/>
                    <w:rPr>
                      <w:sz w:val="21"/>
                      <w:szCs w:val="21"/>
                    </w:rPr>
                  </w:pPr>
                  <w:r>
                    <w:rPr>
                      <w:rFonts w:hint="eastAsia"/>
                      <w:sz w:val="21"/>
                      <w:szCs w:val="21"/>
                    </w:rPr>
                    <w:t>1座</w:t>
                  </w:r>
                </w:p>
              </w:tc>
              <w:tc>
                <w:tcPr>
                  <w:tcW w:w="1417" w:type="dxa"/>
                  <w:vAlign w:val="center"/>
                </w:tcPr>
                <w:p>
                  <w:pPr>
                    <w:spacing w:line="320" w:lineRule="exact"/>
                    <w:ind w:firstLine="420"/>
                    <w:rPr>
                      <w:sz w:val="21"/>
                      <w:szCs w:val="21"/>
                    </w:rPr>
                  </w:pPr>
                  <w:r>
                    <w:rPr>
                      <w:rFonts w:hint="eastAsia"/>
                      <w:sz w:val="21"/>
                      <w:szCs w:val="21"/>
                    </w:rPr>
                    <w:t>1座</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r>
                    <w:rPr>
                      <w:sz w:val="21"/>
                      <w:szCs w:val="21"/>
                    </w:rPr>
                    <w:t>0</w:t>
                  </w:r>
                </w:p>
              </w:tc>
              <w:tc>
                <w:tcPr>
                  <w:tcW w:w="2718" w:type="dxa"/>
                  <w:vAlign w:val="center"/>
                </w:tcPr>
                <w:p>
                  <w:pPr>
                    <w:spacing w:line="240" w:lineRule="auto"/>
                    <w:ind w:firstLine="0" w:firstLineChars="0"/>
                    <w:rPr>
                      <w:sz w:val="21"/>
                      <w:szCs w:val="21"/>
                    </w:rPr>
                  </w:pPr>
                  <w:r>
                    <w:rPr>
                      <w:bCs/>
                      <w:sz w:val="21"/>
                      <w:szCs w:val="21"/>
                    </w:rPr>
                    <w:t>储气瓶组</w:t>
                  </w:r>
                </w:p>
              </w:tc>
              <w:tc>
                <w:tcPr>
                  <w:tcW w:w="1134" w:type="dxa"/>
                  <w:vAlign w:val="center"/>
                </w:tcPr>
                <w:p>
                  <w:pPr>
                    <w:spacing w:line="240" w:lineRule="auto"/>
                    <w:ind w:firstLine="0" w:firstLineChars="0"/>
                    <w:rPr>
                      <w:sz w:val="21"/>
                      <w:szCs w:val="21"/>
                    </w:rPr>
                  </w:pPr>
                  <w:r>
                    <w:rPr>
                      <w:rFonts w:hint="eastAsia"/>
                      <w:sz w:val="21"/>
                      <w:szCs w:val="21"/>
                    </w:rPr>
                    <w:t>/</w:t>
                  </w:r>
                </w:p>
              </w:tc>
              <w:tc>
                <w:tcPr>
                  <w:tcW w:w="1276" w:type="dxa"/>
                  <w:vAlign w:val="center"/>
                </w:tcPr>
                <w:p>
                  <w:pPr>
                    <w:spacing w:line="320" w:lineRule="exact"/>
                    <w:ind w:firstLine="420"/>
                    <w:rPr>
                      <w:sz w:val="21"/>
                      <w:szCs w:val="21"/>
                    </w:rPr>
                  </w:pPr>
                  <w:r>
                    <w:rPr>
                      <w:rFonts w:hint="eastAsia"/>
                      <w:sz w:val="21"/>
                      <w:szCs w:val="21"/>
                    </w:rPr>
                    <w:t>1套</w:t>
                  </w:r>
                </w:p>
              </w:tc>
              <w:tc>
                <w:tcPr>
                  <w:tcW w:w="1417" w:type="dxa"/>
                  <w:vAlign w:val="center"/>
                </w:tcPr>
                <w:p>
                  <w:pPr>
                    <w:spacing w:line="320" w:lineRule="exact"/>
                    <w:ind w:firstLine="420"/>
                    <w:rPr>
                      <w:sz w:val="21"/>
                      <w:szCs w:val="21"/>
                    </w:rPr>
                  </w:pPr>
                  <w:r>
                    <w:rPr>
                      <w:rFonts w:hint="eastAsia"/>
                      <w:sz w:val="21"/>
                      <w:szCs w:val="21"/>
                    </w:rPr>
                    <w:t>1套</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r>
                    <w:rPr>
                      <w:sz w:val="21"/>
                      <w:szCs w:val="21"/>
                    </w:rPr>
                    <w:t>1</w:t>
                  </w:r>
                </w:p>
              </w:tc>
              <w:tc>
                <w:tcPr>
                  <w:tcW w:w="2718" w:type="dxa"/>
                  <w:vAlign w:val="bottom"/>
                </w:tcPr>
                <w:p>
                  <w:pPr>
                    <w:spacing w:line="240" w:lineRule="auto"/>
                    <w:ind w:firstLine="0" w:firstLineChars="0"/>
                    <w:rPr>
                      <w:sz w:val="21"/>
                      <w:szCs w:val="21"/>
                    </w:rPr>
                  </w:pPr>
                  <w:r>
                    <w:rPr>
                      <w:rFonts w:hint="eastAsia" w:ascii="宋体" w:hAnsi="宋体" w:cs="宋体"/>
                      <w:sz w:val="21"/>
                      <w:szCs w:val="21"/>
                    </w:rPr>
                    <w:t>手提式干粉灭火器</w:t>
                  </w:r>
                </w:p>
              </w:tc>
              <w:tc>
                <w:tcPr>
                  <w:tcW w:w="1134" w:type="dxa"/>
                  <w:vAlign w:val="bottom"/>
                </w:tcPr>
                <w:p>
                  <w:pPr>
                    <w:spacing w:line="240" w:lineRule="auto"/>
                    <w:ind w:firstLine="0" w:firstLineChars="0"/>
                    <w:rPr>
                      <w:sz w:val="21"/>
                      <w:szCs w:val="21"/>
                    </w:rPr>
                  </w:pPr>
                  <w:r>
                    <w:rPr>
                      <w:rFonts w:hint="eastAsia"/>
                      <w:sz w:val="21"/>
                      <w:szCs w:val="21"/>
                    </w:rPr>
                    <w:t>4kg</w:t>
                  </w:r>
                </w:p>
              </w:tc>
              <w:tc>
                <w:tcPr>
                  <w:tcW w:w="1276" w:type="dxa"/>
                  <w:vAlign w:val="center"/>
                </w:tcPr>
                <w:p>
                  <w:pPr>
                    <w:spacing w:line="320" w:lineRule="exact"/>
                    <w:ind w:firstLine="420"/>
                    <w:rPr>
                      <w:sz w:val="21"/>
                      <w:szCs w:val="21"/>
                    </w:rPr>
                  </w:pPr>
                  <w:r>
                    <w:rPr>
                      <w:rFonts w:hint="eastAsia"/>
                      <w:sz w:val="21"/>
                      <w:szCs w:val="21"/>
                    </w:rPr>
                    <w:t>12只</w:t>
                  </w:r>
                </w:p>
              </w:tc>
              <w:tc>
                <w:tcPr>
                  <w:tcW w:w="1417" w:type="dxa"/>
                  <w:vAlign w:val="center"/>
                </w:tcPr>
                <w:p>
                  <w:pPr>
                    <w:spacing w:line="320" w:lineRule="exact"/>
                    <w:ind w:firstLine="420"/>
                    <w:rPr>
                      <w:sz w:val="21"/>
                      <w:szCs w:val="21"/>
                    </w:rPr>
                  </w:pPr>
                  <w:r>
                    <w:rPr>
                      <w:sz w:val="21"/>
                      <w:szCs w:val="21"/>
                    </w:rPr>
                    <w:t>8</w:t>
                  </w:r>
                  <w:r>
                    <w:rPr>
                      <w:rFonts w:hint="eastAsia"/>
                      <w:sz w:val="21"/>
                      <w:szCs w:val="21"/>
                    </w:rPr>
                    <w:t>只</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r>
                    <w:rPr>
                      <w:sz w:val="21"/>
                      <w:szCs w:val="21"/>
                    </w:rPr>
                    <w:t>2</w:t>
                  </w:r>
                </w:p>
              </w:tc>
              <w:tc>
                <w:tcPr>
                  <w:tcW w:w="2718" w:type="dxa"/>
                  <w:vAlign w:val="bottom"/>
                </w:tcPr>
                <w:p>
                  <w:pPr>
                    <w:spacing w:line="240" w:lineRule="auto"/>
                    <w:ind w:firstLine="0" w:firstLineChars="0"/>
                    <w:rPr>
                      <w:sz w:val="21"/>
                      <w:szCs w:val="21"/>
                    </w:rPr>
                  </w:pPr>
                  <w:r>
                    <w:rPr>
                      <w:rFonts w:hint="eastAsia"/>
                      <w:sz w:val="21"/>
                      <w:szCs w:val="21"/>
                    </w:rPr>
                    <w:t>手提式干粉灭火器</w:t>
                  </w:r>
                </w:p>
              </w:tc>
              <w:tc>
                <w:tcPr>
                  <w:tcW w:w="1134" w:type="dxa"/>
                  <w:vAlign w:val="bottom"/>
                </w:tcPr>
                <w:p>
                  <w:pPr>
                    <w:spacing w:line="240" w:lineRule="auto"/>
                    <w:ind w:firstLine="0" w:firstLineChars="0"/>
                    <w:rPr>
                      <w:sz w:val="21"/>
                      <w:szCs w:val="21"/>
                    </w:rPr>
                  </w:pPr>
                  <w:r>
                    <w:rPr>
                      <w:rFonts w:hint="eastAsia"/>
                      <w:sz w:val="21"/>
                      <w:szCs w:val="21"/>
                    </w:rPr>
                    <w:t xml:space="preserve">5kg </w:t>
                  </w:r>
                </w:p>
              </w:tc>
              <w:tc>
                <w:tcPr>
                  <w:tcW w:w="1276" w:type="dxa"/>
                  <w:vAlign w:val="center"/>
                </w:tcPr>
                <w:p>
                  <w:pPr>
                    <w:spacing w:line="320" w:lineRule="exact"/>
                    <w:ind w:firstLine="420"/>
                    <w:rPr>
                      <w:sz w:val="21"/>
                      <w:szCs w:val="21"/>
                    </w:rPr>
                  </w:pPr>
                  <w:r>
                    <w:rPr>
                      <w:rFonts w:hint="eastAsia"/>
                      <w:sz w:val="21"/>
                      <w:szCs w:val="21"/>
                    </w:rPr>
                    <w:t>8只</w:t>
                  </w:r>
                </w:p>
              </w:tc>
              <w:tc>
                <w:tcPr>
                  <w:tcW w:w="1417" w:type="dxa"/>
                  <w:vAlign w:val="center"/>
                </w:tcPr>
                <w:p>
                  <w:pPr>
                    <w:spacing w:line="320" w:lineRule="exact"/>
                    <w:ind w:firstLine="420"/>
                    <w:rPr>
                      <w:sz w:val="21"/>
                      <w:szCs w:val="21"/>
                    </w:rPr>
                  </w:pPr>
                  <w:r>
                    <w:rPr>
                      <w:sz w:val="21"/>
                      <w:szCs w:val="21"/>
                    </w:rPr>
                    <w:t>5</w:t>
                  </w:r>
                  <w:r>
                    <w:rPr>
                      <w:rFonts w:hint="eastAsia"/>
                      <w:sz w:val="21"/>
                      <w:szCs w:val="21"/>
                    </w:rPr>
                    <w:t>只</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r>
                    <w:rPr>
                      <w:sz w:val="21"/>
                      <w:szCs w:val="21"/>
                    </w:rPr>
                    <w:t>3</w:t>
                  </w:r>
                </w:p>
              </w:tc>
              <w:tc>
                <w:tcPr>
                  <w:tcW w:w="2718" w:type="dxa"/>
                  <w:vAlign w:val="bottom"/>
                </w:tcPr>
                <w:p>
                  <w:pPr>
                    <w:spacing w:line="240" w:lineRule="auto"/>
                    <w:ind w:firstLine="0" w:firstLineChars="0"/>
                    <w:rPr>
                      <w:rFonts w:ascii="宋体" w:hAnsi="宋体" w:cs="宋体"/>
                      <w:sz w:val="21"/>
                      <w:szCs w:val="21"/>
                    </w:rPr>
                  </w:pPr>
                  <w:r>
                    <w:rPr>
                      <w:rFonts w:hint="eastAsia" w:ascii="宋体" w:hAnsi="宋体" w:cs="宋体"/>
                      <w:sz w:val="21"/>
                      <w:szCs w:val="21"/>
                    </w:rPr>
                    <w:t>推车式干粉灭火器</w:t>
                  </w:r>
                </w:p>
              </w:tc>
              <w:tc>
                <w:tcPr>
                  <w:tcW w:w="1134" w:type="dxa"/>
                  <w:vAlign w:val="bottom"/>
                </w:tcPr>
                <w:p>
                  <w:pPr>
                    <w:spacing w:line="240" w:lineRule="auto"/>
                    <w:ind w:firstLine="0" w:firstLineChars="0"/>
                    <w:rPr>
                      <w:sz w:val="21"/>
                      <w:szCs w:val="21"/>
                    </w:rPr>
                  </w:pPr>
                  <w:r>
                    <w:rPr>
                      <w:rFonts w:hint="eastAsia"/>
                      <w:sz w:val="21"/>
                      <w:szCs w:val="21"/>
                    </w:rPr>
                    <w:t>35kg</w:t>
                  </w:r>
                </w:p>
              </w:tc>
              <w:tc>
                <w:tcPr>
                  <w:tcW w:w="1276" w:type="dxa"/>
                  <w:vAlign w:val="center"/>
                </w:tcPr>
                <w:p>
                  <w:pPr>
                    <w:spacing w:line="320" w:lineRule="exact"/>
                    <w:ind w:firstLine="420"/>
                    <w:rPr>
                      <w:sz w:val="21"/>
                      <w:szCs w:val="21"/>
                    </w:rPr>
                  </w:pPr>
                  <w:r>
                    <w:rPr>
                      <w:rFonts w:hint="eastAsia"/>
                      <w:sz w:val="21"/>
                      <w:szCs w:val="21"/>
                    </w:rPr>
                    <w:t>3只</w:t>
                  </w:r>
                </w:p>
              </w:tc>
              <w:tc>
                <w:tcPr>
                  <w:tcW w:w="1417" w:type="dxa"/>
                  <w:vAlign w:val="center"/>
                </w:tcPr>
                <w:p>
                  <w:pPr>
                    <w:spacing w:line="320" w:lineRule="exact"/>
                    <w:ind w:firstLine="420"/>
                    <w:rPr>
                      <w:sz w:val="21"/>
                      <w:szCs w:val="21"/>
                    </w:rPr>
                  </w:pPr>
                  <w:r>
                    <w:rPr>
                      <w:sz w:val="21"/>
                      <w:szCs w:val="21"/>
                    </w:rPr>
                    <w:t>2</w:t>
                  </w:r>
                  <w:r>
                    <w:rPr>
                      <w:rFonts w:hint="eastAsia"/>
                      <w:sz w:val="21"/>
                      <w:szCs w:val="21"/>
                    </w:rPr>
                    <w:t>只</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r>
                    <w:rPr>
                      <w:sz w:val="21"/>
                      <w:szCs w:val="21"/>
                    </w:rPr>
                    <w:t>4</w:t>
                  </w:r>
                </w:p>
              </w:tc>
              <w:tc>
                <w:tcPr>
                  <w:tcW w:w="2718" w:type="dxa"/>
                  <w:vAlign w:val="bottom"/>
                </w:tcPr>
                <w:p>
                  <w:pPr>
                    <w:spacing w:line="240" w:lineRule="auto"/>
                    <w:ind w:firstLine="0" w:firstLineChars="0"/>
                    <w:rPr>
                      <w:rFonts w:ascii="宋体" w:hAnsi="宋体" w:cs="宋体"/>
                      <w:sz w:val="21"/>
                      <w:szCs w:val="21"/>
                    </w:rPr>
                  </w:pPr>
                  <w:r>
                    <w:rPr>
                      <w:rFonts w:hint="eastAsia"/>
                      <w:sz w:val="21"/>
                      <w:szCs w:val="21"/>
                    </w:rPr>
                    <w:t>灭火毯</w:t>
                  </w:r>
                </w:p>
              </w:tc>
              <w:tc>
                <w:tcPr>
                  <w:tcW w:w="1134" w:type="dxa"/>
                  <w:vAlign w:val="bottom"/>
                </w:tcPr>
                <w:p>
                  <w:pPr>
                    <w:spacing w:line="240" w:lineRule="auto"/>
                    <w:ind w:firstLine="0" w:firstLineChars="0"/>
                    <w:rPr>
                      <w:sz w:val="21"/>
                      <w:szCs w:val="21"/>
                    </w:rPr>
                  </w:pPr>
                  <w:r>
                    <w:rPr>
                      <w:rFonts w:hint="eastAsia"/>
                      <w:sz w:val="21"/>
                      <w:szCs w:val="21"/>
                    </w:rPr>
                    <w:t>/</w:t>
                  </w:r>
                </w:p>
              </w:tc>
              <w:tc>
                <w:tcPr>
                  <w:tcW w:w="1276" w:type="dxa"/>
                  <w:vAlign w:val="center"/>
                </w:tcPr>
                <w:p>
                  <w:pPr>
                    <w:spacing w:line="320" w:lineRule="exact"/>
                    <w:ind w:firstLine="420"/>
                    <w:rPr>
                      <w:sz w:val="21"/>
                      <w:szCs w:val="21"/>
                    </w:rPr>
                  </w:pPr>
                  <w:r>
                    <w:rPr>
                      <w:rFonts w:hint="eastAsia"/>
                      <w:sz w:val="21"/>
                      <w:szCs w:val="21"/>
                    </w:rPr>
                    <w:t>5张</w:t>
                  </w:r>
                </w:p>
              </w:tc>
              <w:tc>
                <w:tcPr>
                  <w:tcW w:w="1417" w:type="dxa"/>
                  <w:vAlign w:val="center"/>
                </w:tcPr>
                <w:p>
                  <w:pPr>
                    <w:spacing w:line="320" w:lineRule="exact"/>
                    <w:ind w:firstLine="420"/>
                    <w:rPr>
                      <w:sz w:val="21"/>
                      <w:szCs w:val="21"/>
                    </w:rPr>
                  </w:pPr>
                  <w:r>
                    <w:rPr>
                      <w:rFonts w:hint="eastAsia"/>
                      <w:sz w:val="21"/>
                      <w:szCs w:val="21"/>
                    </w:rPr>
                    <w:t>5张</w:t>
                  </w:r>
                </w:p>
              </w:tc>
              <w:tc>
                <w:tcPr>
                  <w:tcW w:w="985" w:type="dxa"/>
                  <w:vAlign w:val="center"/>
                </w:tcPr>
                <w:p>
                  <w:pPr>
                    <w:spacing w:line="240" w:lineRule="auto"/>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41" w:type="dxa"/>
                  <w:vAlign w:val="center"/>
                </w:tcPr>
                <w:p>
                  <w:pPr>
                    <w:spacing w:line="240" w:lineRule="auto"/>
                    <w:ind w:firstLine="0" w:firstLineChars="0"/>
                    <w:jc w:val="center"/>
                    <w:rPr>
                      <w:sz w:val="21"/>
                      <w:szCs w:val="21"/>
                    </w:rPr>
                  </w:pPr>
                  <w:r>
                    <w:rPr>
                      <w:rFonts w:hint="eastAsia"/>
                      <w:sz w:val="21"/>
                      <w:szCs w:val="21"/>
                    </w:rPr>
                    <w:t>1</w:t>
                  </w:r>
                  <w:r>
                    <w:rPr>
                      <w:sz w:val="21"/>
                      <w:szCs w:val="21"/>
                    </w:rPr>
                    <w:t>5</w:t>
                  </w:r>
                </w:p>
              </w:tc>
              <w:tc>
                <w:tcPr>
                  <w:tcW w:w="2718" w:type="dxa"/>
                  <w:vAlign w:val="bottom"/>
                </w:tcPr>
                <w:p>
                  <w:pPr>
                    <w:spacing w:line="240" w:lineRule="auto"/>
                    <w:ind w:firstLine="0" w:firstLineChars="0"/>
                    <w:rPr>
                      <w:rFonts w:ascii="宋体" w:hAnsi="宋体" w:cs="宋体"/>
                      <w:sz w:val="21"/>
                      <w:szCs w:val="21"/>
                    </w:rPr>
                  </w:pPr>
                  <w:r>
                    <w:rPr>
                      <w:rFonts w:hint="eastAsia" w:ascii="宋体" w:hAnsi="宋体" w:cs="宋体"/>
                      <w:sz w:val="21"/>
                      <w:szCs w:val="21"/>
                    </w:rPr>
                    <w:t>消防沙</w:t>
                  </w:r>
                </w:p>
              </w:tc>
              <w:tc>
                <w:tcPr>
                  <w:tcW w:w="1134" w:type="dxa"/>
                  <w:vAlign w:val="bottom"/>
                </w:tcPr>
                <w:p>
                  <w:pPr>
                    <w:spacing w:line="240" w:lineRule="auto"/>
                    <w:ind w:firstLine="0" w:firstLineChars="0"/>
                    <w:rPr>
                      <w:sz w:val="21"/>
                      <w:szCs w:val="21"/>
                    </w:rPr>
                  </w:pPr>
                  <w:r>
                    <w:rPr>
                      <w:rFonts w:hint="eastAsia"/>
                      <w:sz w:val="21"/>
                      <w:szCs w:val="21"/>
                    </w:rPr>
                    <w:t>2</w:t>
                  </w:r>
                  <w:r>
                    <w:rPr>
                      <w:rFonts w:hint="eastAsia"/>
                      <w:sz w:val="21"/>
                      <w:szCs w:val="21"/>
                      <w:lang w:val="zh-CN"/>
                    </w:rPr>
                    <w:t>m</w:t>
                  </w:r>
                  <w:r>
                    <w:rPr>
                      <w:rFonts w:hint="eastAsia"/>
                      <w:sz w:val="21"/>
                      <w:szCs w:val="21"/>
                      <w:vertAlign w:val="superscript"/>
                    </w:rPr>
                    <w:t>3</w:t>
                  </w:r>
                </w:p>
              </w:tc>
              <w:tc>
                <w:tcPr>
                  <w:tcW w:w="1276" w:type="dxa"/>
                  <w:vAlign w:val="center"/>
                </w:tcPr>
                <w:p>
                  <w:pPr>
                    <w:spacing w:line="320" w:lineRule="exact"/>
                    <w:ind w:firstLine="420"/>
                    <w:rPr>
                      <w:sz w:val="21"/>
                      <w:szCs w:val="21"/>
                    </w:rPr>
                  </w:pPr>
                  <w:r>
                    <w:rPr>
                      <w:rFonts w:hint="eastAsia"/>
                      <w:sz w:val="21"/>
                      <w:szCs w:val="21"/>
                    </w:rPr>
                    <w:t>1座</w:t>
                  </w:r>
                </w:p>
              </w:tc>
              <w:tc>
                <w:tcPr>
                  <w:tcW w:w="1417" w:type="dxa"/>
                  <w:vAlign w:val="center"/>
                </w:tcPr>
                <w:p>
                  <w:pPr>
                    <w:spacing w:line="320" w:lineRule="exact"/>
                    <w:ind w:firstLine="420"/>
                    <w:rPr>
                      <w:sz w:val="21"/>
                      <w:szCs w:val="21"/>
                    </w:rPr>
                  </w:pPr>
                  <w:r>
                    <w:rPr>
                      <w:rFonts w:hint="eastAsia"/>
                      <w:sz w:val="21"/>
                      <w:szCs w:val="21"/>
                    </w:rPr>
                    <w:t>1座</w:t>
                  </w:r>
                </w:p>
              </w:tc>
              <w:tc>
                <w:tcPr>
                  <w:tcW w:w="985" w:type="dxa"/>
                  <w:vAlign w:val="center"/>
                </w:tcPr>
                <w:p>
                  <w:pPr>
                    <w:spacing w:line="240" w:lineRule="auto"/>
                    <w:ind w:firstLine="0" w:firstLineChars="0"/>
                    <w:jc w:val="center"/>
                    <w:rPr>
                      <w:sz w:val="21"/>
                      <w:szCs w:val="21"/>
                    </w:rPr>
                  </w:pPr>
                </w:p>
              </w:tc>
            </w:tr>
          </w:tbl>
          <w:p>
            <w:pPr>
              <w:widowControl w:val="0"/>
              <w:ind w:firstLine="0" w:firstLineChars="0"/>
              <w:jc w:val="both"/>
            </w:pPr>
          </w:p>
          <w:p>
            <w:pPr>
              <w:widowControl w:val="0"/>
              <w:ind w:firstLine="0" w:firstLineChars="0"/>
              <w:jc w:val="both"/>
              <w:rPr>
                <w:rFonts w:ascii="宋体" w:hAnsi="宋体" w:cs="宋体"/>
                <w:b/>
                <w:color w:val="000000"/>
                <w:lang w:bidi="ar"/>
              </w:rPr>
            </w:pPr>
            <w:r>
              <w:rPr>
                <w:rFonts w:hint="eastAsia"/>
                <w:b/>
                <w:bCs/>
              </w:rPr>
              <w:t>2.5、</w:t>
            </w:r>
            <w:r>
              <w:rPr>
                <w:rFonts w:hint="eastAsia" w:ascii="宋体" w:hAnsi="宋体" w:cs="宋体"/>
                <w:b/>
                <w:color w:val="000000"/>
                <w:lang w:bidi="ar"/>
              </w:rPr>
              <w:t xml:space="preserve">环评与环保审批情况 </w:t>
            </w:r>
          </w:p>
          <w:p>
            <w:pPr>
              <w:widowControl/>
              <w:ind w:firstLine="240" w:firstLineChars="100"/>
              <w:jc w:val="left"/>
              <w:rPr>
                <w:rFonts w:ascii="宋体" w:hAnsi="宋体" w:cs="宋体"/>
                <w:color w:val="000000"/>
                <w:lang w:bidi="ar"/>
              </w:rPr>
            </w:pPr>
            <w:r>
              <w:rPr>
                <w:szCs w:val="21"/>
              </w:rPr>
              <w:t>201</w:t>
            </w:r>
            <w:r>
              <w:rPr>
                <w:rFonts w:hint="eastAsia"/>
                <w:szCs w:val="21"/>
              </w:rPr>
              <w:t>7</w:t>
            </w:r>
            <w:r>
              <w:rPr>
                <w:szCs w:val="21"/>
              </w:rPr>
              <w:t>年</w:t>
            </w:r>
            <w:r>
              <w:rPr>
                <w:rFonts w:hint="eastAsia"/>
                <w:szCs w:val="21"/>
              </w:rPr>
              <w:t>5</w:t>
            </w:r>
            <w:r>
              <w:rPr>
                <w:szCs w:val="21"/>
              </w:rPr>
              <w:t>月</w:t>
            </w:r>
            <w:r>
              <w:rPr>
                <w:rFonts w:hint="eastAsia"/>
                <w:szCs w:val="21"/>
              </w:rPr>
              <w:t>23</w:t>
            </w:r>
            <w:r>
              <w:rPr>
                <w:szCs w:val="21"/>
              </w:rPr>
              <w:t>日</w:t>
            </w:r>
            <w:r>
              <w:rPr>
                <w:rFonts w:hint="eastAsia" w:ascii="宋体" w:hAnsi="宋体" w:cs="宋体"/>
                <w:color w:val="000000"/>
                <w:lang w:bidi="ar"/>
              </w:rPr>
              <w:t>，</w:t>
            </w:r>
            <w:r>
              <w:rPr>
                <w:rFonts w:hint="eastAsia"/>
              </w:rPr>
              <w:t>铜陵市郊区经济发展促进局</w:t>
            </w:r>
            <w:r>
              <w:rPr>
                <w:rFonts w:hint="eastAsia" w:ascii="宋体" w:hAnsi="宋体" w:cs="宋体"/>
                <w:color w:val="000000"/>
                <w:lang w:bidi="ar"/>
              </w:rPr>
              <w:t>以</w:t>
            </w:r>
            <w:r>
              <w:rPr>
                <w:rFonts w:hint="eastAsia"/>
              </w:rPr>
              <w:t>郊经发函</w:t>
            </w:r>
            <w:r>
              <w:t>[201</w:t>
            </w:r>
            <w:r>
              <w:rPr>
                <w:rFonts w:hint="eastAsia"/>
              </w:rPr>
              <w:t>7</w:t>
            </w:r>
            <w:r>
              <w:t>]</w:t>
            </w:r>
            <w:r>
              <w:rPr>
                <w:rFonts w:hint="eastAsia"/>
              </w:rPr>
              <w:t>25</w:t>
            </w:r>
            <w:r>
              <w:t>号</w:t>
            </w:r>
            <w:r>
              <w:rPr>
                <w:rFonts w:hint="eastAsia" w:ascii="宋体" w:hAnsi="宋体" w:cs="宋体"/>
                <w:color w:val="000000"/>
                <w:lang w:bidi="ar"/>
              </w:rPr>
              <w:t>给《安徽灵通清洁能源股份有限公司灵通横港物流园L-CNC油气合建站项目》备案；</w:t>
            </w:r>
          </w:p>
          <w:p>
            <w:pPr>
              <w:widowControl/>
              <w:ind w:firstLine="480"/>
              <w:jc w:val="left"/>
              <w:rPr>
                <w:rFonts w:ascii="宋体" w:hAnsi="宋体" w:cs="宋体"/>
                <w:color w:val="000000"/>
                <w:lang w:bidi="ar"/>
              </w:rPr>
            </w:pPr>
            <w:r>
              <w:rPr>
                <w:rFonts w:hint="eastAsia" w:ascii="宋体" w:hAnsi="宋体" w:cs="宋体"/>
                <w:color w:val="000000"/>
                <w:lang w:bidi="ar"/>
              </w:rPr>
              <w:t>201</w:t>
            </w:r>
            <w:r>
              <w:rPr>
                <w:rFonts w:ascii="宋体" w:hAnsi="宋体" w:cs="宋体"/>
                <w:color w:val="000000"/>
                <w:lang w:bidi="ar"/>
              </w:rPr>
              <w:t>7</w:t>
            </w:r>
            <w:r>
              <w:rPr>
                <w:rFonts w:hint="eastAsia" w:ascii="宋体" w:hAnsi="宋体" w:cs="宋体"/>
                <w:color w:val="000000"/>
                <w:lang w:bidi="ar"/>
              </w:rPr>
              <w:t>年</w:t>
            </w:r>
            <w:r>
              <w:rPr>
                <w:rFonts w:ascii="宋体" w:hAnsi="宋体" w:cs="宋体"/>
                <w:color w:val="000000"/>
                <w:lang w:bidi="ar"/>
              </w:rPr>
              <w:t>7</w:t>
            </w:r>
            <w:r>
              <w:rPr>
                <w:rFonts w:hint="eastAsia" w:ascii="宋体" w:hAnsi="宋体" w:cs="宋体"/>
                <w:color w:val="000000"/>
                <w:lang w:bidi="ar"/>
              </w:rPr>
              <w:t>月，委托安徽师达环保科技有限公司编制本项目环境影响报告表。</w:t>
            </w:r>
          </w:p>
          <w:p>
            <w:pPr>
              <w:widowControl/>
              <w:ind w:firstLine="480"/>
              <w:jc w:val="left"/>
              <w:rPr>
                <w:rFonts w:ascii="宋体" w:hAnsi="宋体" w:cs="宋体"/>
                <w:color w:val="000000"/>
                <w:lang w:bidi="ar"/>
              </w:rPr>
            </w:pPr>
            <w:r>
              <w:rPr>
                <w:rFonts w:hint="eastAsia" w:hAnsi="宋体"/>
              </w:rPr>
              <w:t>2</w:t>
            </w:r>
            <w:r>
              <w:rPr>
                <w:rFonts w:hAnsi="宋体"/>
              </w:rPr>
              <w:t>017</w:t>
            </w:r>
            <w:r>
              <w:rPr>
                <w:rFonts w:hint="eastAsia" w:hAnsi="宋体"/>
              </w:rPr>
              <w:t>年9月8日获得郊区环境保护局《关于安徽灵通清洁能源股份有限公司横港物流园L-CNG油气合建站环境影响报告表审批意见的函》批复，同意项目建设</w:t>
            </w:r>
            <w:r>
              <w:rPr>
                <w:rFonts w:hint="eastAsia" w:ascii="宋体" w:hAnsi="宋体" w:cs="宋体"/>
                <w:color w:val="000000"/>
                <w:lang w:bidi="ar"/>
              </w:rPr>
              <w:t>。</w:t>
            </w:r>
          </w:p>
          <w:p>
            <w:pPr>
              <w:widowControl/>
              <w:ind w:firstLine="480"/>
              <w:jc w:val="left"/>
              <w:rPr>
                <w:rFonts w:ascii="宋体" w:hAnsi="宋体" w:cs="宋体"/>
                <w:color w:val="000000"/>
                <w:lang w:bidi="ar"/>
              </w:rPr>
            </w:pPr>
            <w:r>
              <w:rPr>
                <w:rFonts w:hint="eastAsia" w:ascii="宋体" w:hAnsi="宋体" w:cs="宋体"/>
                <w:color w:val="000000"/>
                <w:lang w:bidi="ar"/>
              </w:rPr>
              <w:t>2018年10月，安徽禹水华阳环境工程技术有限公司</w:t>
            </w:r>
            <w:r>
              <w:rPr>
                <w:rFonts w:hint="eastAsia" w:hAnsi="宋体"/>
              </w:rPr>
              <w:t>根据省委皖发[2018]21号文《关于全面打造水清岸绿产业优美丽长江（安徽）经济带的实施意见》和铜陵市委铜发[2018]19号文关于印发《全面打造水清岸绿产业优美丽长江（安徽）经济带铜陵实施方案》的通知精神，对距长江1公里在建企业履行“三同时”手续情况进行核查。</w:t>
            </w:r>
            <w:r>
              <w:rPr>
                <w:rFonts w:hAnsi="宋体" w:cs="Arial"/>
                <w:szCs w:val="21"/>
              </w:rPr>
              <w:t>在项目</w:t>
            </w:r>
            <w:r>
              <w:rPr>
                <w:rFonts w:hint="eastAsia" w:hAnsi="宋体" w:cs="Arial"/>
                <w:szCs w:val="21"/>
              </w:rPr>
              <w:t>原环境影响评价</w:t>
            </w:r>
            <w:r>
              <w:rPr>
                <w:rFonts w:hAnsi="宋体" w:cs="Arial"/>
                <w:szCs w:val="21"/>
              </w:rPr>
              <w:t>的</w:t>
            </w:r>
            <w:r>
              <w:rPr>
                <w:rFonts w:hint="eastAsia" w:hAnsi="宋体" w:cs="Arial"/>
                <w:szCs w:val="21"/>
              </w:rPr>
              <w:t>基础上，就项目本身项目合理性分析</w:t>
            </w:r>
            <w:r>
              <w:rPr>
                <w:rFonts w:hAnsi="宋体" w:cs="Arial"/>
                <w:szCs w:val="21"/>
              </w:rPr>
              <w:t>后，依照环境影响评价技术导则的要求编制了</w:t>
            </w:r>
            <w:r>
              <w:rPr>
                <w:rFonts w:hint="eastAsia" w:hAnsi="宋体" w:cs="Arial"/>
                <w:szCs w:val="21"/>
              </w:rPr>
              <w:t>该项目环境影响评价补充说明</w:t>
            </w:r>
            <w:r>
              <w:rPr>
                <w:rFonts w:hAnsi="宋体" w:cs="Arial"/>
                <w:szCs w:val="21"/>
              </w:rPr>
              <w:t>。</w:t>
            </w:r>
            <w:r>
              <w:rPr>
                <w:rFonts w:hint="eastAsia" w:hAnsi="宋体" w:cs="Arial"/>
                <w:szCs w:val="21"/>
              </w:rPr>
              <w:t>并于2</w:t>
            </w:r>
            <w:r>
              <w:rPr>
                <w:rFonts w:hAnsi="宋体" w:cs="Arial"/>
                <w:szCs w:val="21"/>
              </w:rPr>
              <w:t>018</w:t>
            </w:r>
            <w:r>
              <w:rPr>
                <w:rFonts w:hint="eastAsia" w:hAnsi="宋体" w:cs="Arial"/>
                <w:szCs w:val="21"/>
              </w:rPr>
              <w:t>年1</w:t>
            </w:r>
            <w:r>
              <w:rPr>
                <w:rFonts w:hAnsi="宋体" w:cs="Arial"/>
                <w:szCs w:val="21"/>
              </w:rPr>
              <w:t>1</w:t>
            </w:r>
            <w:r>
              <w:rPr>
                <w:rFonts w:hint="eastAsia" w:hAnsi="宋体" w:cs="Arial"/>
                <w:szCs w:val="21"/>
              </w:rPr>
              <w:t>月通过专家评审。</w:t>
            </w:r>
          </w:p>
          <w:p>
            <w:pPr>
              <w:widowControl/>
              <w:ind w:firstLine="480"/>
              <w:jc w:val="left"/>
            </w:pPr>
            <w:r>
              <w:rPr>
                <w:rFonts w:hint="eastAsia" w:ascii="宋体" w:hAnsi="宋体" w:cs="宋体"/>
                <w:color w:val="000000"/>
                <w:lang w:bidi="ar"/>
              </w:rPr>
              <w:t>现该项目生产设施和各项污染物治理措施均已安装调试完毕，符合验收监测条件。</w:t>
            </w:r>
          </w:p>
          <w:p>
            <w:pPr>
              <w:widowControl w:val="0"/>
              <w:ind w:firstLine="0" w:firstLineChars="0"/>
              <w:jc w:val="both"/>
              <w:rPr>
                <w:b/>
                <w:bCs/>
              </w:rPr>
            </w:pPr>
            <w:r>
              <w:rPr>
                <w:rFonts w:hint="eastAsia"/>
                <w:b/>
                <w:bCs/>
              </w:rPr>
              <w:t>2.7、本项目验收范围</w:t>
            </w:r>
          </w:p>
          <w:p>
            <w:pPr>
              <w:widowControl w:val="0"/>
              <w:ind w:firstLine="480"/>
              <w:jc w:val="both"/>
              <w:rPr>
                <w:b/>
                <w:bCs/>
              </w:rPr>
            </w:pPr>
            <w:r>
              <w:rPr>
                <w:rFonts w:hint="eastAsia"/>
              </w:rPr>
              <w:t>本次验收范围为安徽灵通清洁能源股份有限公司灵通横港物流园L-CNC油气合建站项目和配套环保设施。</w:t>
            </w:r>
          </w:p>
          <w:p>
            <w:pPr>
              <w:widowControl w:val="0"/>
              <w:ind w:firstLine="0" w:firstLineChars="0"/>
              <w:jc w:val="both"/>
              <w:rPr>
                <w:b/>
                <w:bCs/>
              </w:rPr>
            </w:pPr>
            <w:r>
              <w:rPr>
                <w:rFonts w:hint="eastAsia"/>
                <w:b/>
                <w:bCs/>
              </w:rPr>
              <w:t>2.8、项目劳动定员和工作制度</w:t>
            </w:r>
          </w:p>
          <w:p>
            <w:pPr>
              <w:pStyle w:val="11"/>
              <w:widowControl w:val="0"/>
              <w:spacing w:line="360" w:lineRule="auto"/>
              <w:ind w:left="0" w:firstLine="480" w:firstLineChars="200"/>
              <w:jc w:val="both"/>
            </w:pPr>
            <w:r>
              <w:rPr>
                <w:rFonts w:hint="eastAsia"/>
              </w:rPr>
              <w:t>项目共有员工10人。采用三班倒，每班8h工作制，年工作365天。项目区内无食堂，无午餐供应，无宿舍区。</w:t>
            </w:r>
          </w:p>
          <w:p>
            <w:pPr>
              <w:pStyle w:val="11"/>
              <w:widowControl w:val="0"/>
              <w:spacing w:line="360" w:lineRule="auto"/>
              <w:ind w:left="0" w:firstLine="0" w:firstLineChars="0"/>
              <w:jc w:val="both"/>
              <w:rPr>
                <w:b/>
                <w:bCs/>
              </w:rPr>
            </w:pPr>
            <w:r>
              <w:rPr>
                <w:rFonts w:hint="eastAsia"/>
                <w:b/>
                <w:bCs/>
              </w:rPr>
              <w:t>2.9、项目产业政策的符合性</w:t>
            </w:r>
          </w:p>
          <w:p>
            <w:pPr>
              <w:widowControl/>
              <w:ind w:firstLine="480"/>
              <w:jc w:val="left"/>
            </w:pPr>
            <w:r>
              <w:rPr>
                <w:rFonts w:hint="eastAsia" w:cs="宋体" w:asciiTheme="minorEastAsia" w:hAnsiTheme="minorEastAsia" w:eastAsiaTheme="minorEastAsia"/>
                <w:color w:val="000000"/>
                <w:lang w:bidi="ar"/>
              </w:rPr>
              <w:t>依据《国民经济行业分类》（</w:t>
            </w:r>
            <w:r>
              <w:rPr>
                <w:rFonts w:cs="TimesNewRomanPSMT" w:asciiTheme="minorEastAsia" w:hAnsiTheme="minorEastAsia" w:eastAsiaTheme="minorEastAsia"/>
                <w:color w:val="000000"/>
                <w:lang w:bidi="ar"/>
              </w:rPr>
              <w:t>GB/T4754-201</w:t>
            </w:r>
            <w:r>
              <w:rPr>
                <w:rFonts w:hint="eastAsia" w:cs="TimesNewRomanPSMT" w:asciiTheme="minorEastAsia" w:hAnsiTheme="minorEastAsia" w:eastAsiaTheme="minorEastAsia"/>
                <w:color w:val="000000"/>
                <w:lang w:bidi="ar"/>
              </w:rPr>
              <w:t>7</w:t>
            </w:r>
            <w:r>
              <w:rPr>
                <w:rFonts w:hint="eastAsia" w:cs="宋体" w:asciiTheme="minorEastAsia" w:hAnsiTheme="minorEastAsia" w:eastAsiaTheme="minorEastAsia"/>
                <w:color w:val="000000"/>
                <w:lang w:bidi="ar"/>
              </w:rPr>
              <w:t>），本项目行业分类为“</w:t>
            </w:r>
            <w:r>
              <w:rPr>
                <w:rFonts w:hint="eastAsia" w:cs="TimesNewRomanPSMT" w:asciiTheme="minorEastAsia" w:hAnsiTheme="minorEastAsia" w:eastAsiaTheme="minorEastAsia"/>
                <w:color w:val="000000"/>
                <w:lang w:bidi="ar"/>
              </w:rPr>
              <w:t>D4511</w:t>
            </w:r>
            <w:r>
              <w:rPr>
                <w:rFonts w:cs="TimesNewRomanPSMT" w:asciiTheme="minorEastAsia" w:hAnsiTheme="minorEastAsia" w:eastAsiaTheme="minorEastAsia"/>
                <w:color w:val="000000"/>
                <w:lang w:bidi="ar"/>
              </w:rPr>
              <w:t xml:space="preserve"> </w:t>
            </w:r>
            <w:r>
              <w:rPr>
                <w:rFonts w:hint="eastAsia" w:cs="宋体" w:asciiTheme="minorEastAsia" w:hAnsiTheme="minorEastAsia" w:eastAsiaTheme="minorEastAsia"/>
                <w:color w:val="000000"/>
                <w:lang w:bidi="ar"/>
              </w:rPr>
              <w:t>天然气生产和供应”，属于《产业结构调整指导目录</w:t>
            </w:r>
            <w:r>
              <w:rPr>
                <w:rFonts w:cs="TimesNewRomanPSMT" w:asciiTheme="minorEastAsia" w:hAnsiTheme="minorEastAsia" w:eastAsiaTheme="minorEastAsia"/>
                <w:color w:val="000000"/>
                <w:lang w:bidi="ar"/>
              </w:rPr>
              <w:t>(20</w:t>
            </w:r>
            <w:r>
              <w:rPr>
                <w:rFonts w:hint="eastAsia" w:cs="TimesNewRomanPSMT" w:asciiTheme="minorEastAsia" w:hAnsiTheme="minorEastAsia" w:eastAsiaTheme="minorEastAsia"/>
                <w:color w:val="000000"/>
                <w:lang w:bidi="ar"/>
              </w:rPr>
              <w:t>19</w:t>
            </w:r>
            <w:r>
              <w:rPr>
                <w:rFonts w:hint="eastAsia" w:cs="宋体" w:asciiTheme="minorEastAsia" w:hAnsiTheme="minorEastAsia" w:eastAsiaTheme="minorEastAsia"/>
                <w:color w:val="000000"/>
                <w:lang w:bidi="ar"/>
              </w:rPr>
              <w:t>年本</w:t>
            </w:r>
            <w:r>
              <w:rPr>
                <w:rFonts w:cs="TimesNewRomanPSMT" w:asciiTheme="minorEastAsia" w:hAnsiTheme="minorEastAsia" w:eastAsiaTheme="minorEastAsia"/>
                <w:color w:val="000000"/>
                <w:lang w:bidi="ar"/>
              </w:rPr>
              <w:t>)</w:t>
            </w:r>
            <w:r>
              <w:rPr>
                <w:rFonts w:hint="eastAsia" w:cs="宋体" w:asciiTheme="minorEastAsia" w:hAnsiTheme="minorEastAsia" w:eastAsiaTheme="minorEastAsia"/>
                <w:color w:val="000000"/>
                <w:lang w:bidi="ar"/>
              </w:rPr>
              <w:t>》中</w:t>
            </w:r>
            <w:r>
              <w:rPr>
                <w:rFonts w:hint="eastAsia" w:ascii="宋体" w:hAnsi="宋体" w:cs="宋体"/>
                <w:color w:val="000000"/>
                <w:lang w:bidi="ar"/>
              </w:rPr>
              <w:t>的鼓励类七、石油、天然气中3、原油、天然气、液化天然气、成品油的储运和管道输送设施、网络和</w:t>
            </w:r>
            <w:r>
              <w:rPr>
                <w:rFonts w:hint="eastAsia" w:ascii="宋体" w:hAnsi="宋体" w:cs="宋体"/>
                <w:bCs/>
                <w:color w:val="000000"/>
                <w:lang w:bidi="ar"/>
              </w:rPr>
              <w:t>液化天然气加注设施建设</w:t>
            </w:r>
            <w:r>
              <w:rPr>
                <w:rFonts w:hint="eastAsia" w:ascii="宋体" w:hAnsi="宋体" w:cs="宋体"/>
                <w:color w:val="000000"/>
                <w:lang w:bidi="ar"/>
              </w:rPr>
              <w:t>，属于国家鼓励发展产业，所以符合国家产业政策。</w:t>
            </w:r>
          </w:p>
          <w:p>
            <w:pPr>
              <w:widowControl w:val="0"/>
              <w:ind w:firstLine="480"/>
              <w:jc w:val="both"/>
            </w:pPr>
            <w:r>
              <w:rPr>
                <w:bCs/>
                <w:szCs w:val="28"/>
              </w:rPr>
              <w:t>因此</w:t>
            </w:r>
            <w:r>
              <w:rPr>
                <w:rFonts w:hint="eastAsia"/>
                <w:bCs/>
                <w:szCs w:val="28"/>
              </w:rPr>
              <w:t>，综上</w:t>
            </w:r>
            <w:r>
              <w:rPr>
                <w:bCs/>
                <w:szCs w:val="28"/>
              </w:rPr>
              <w:t>本项目的建设符合国家</w:t>
            </w:r>
            <w:r>
              <w:rPr>
                <w:rFonts w:hint="eastAsia"/>
                <w:bCs/>
                <w:szCs w:val="28"/>
              </w:rPr>
              <w:t>及地方</w:t>
            </w:r>
            <w:r>
              <w:rPr>
                <w:bCs/>
                <w:szCs w:val="28"/>
              </w:rPr>
              <w:t>的产业政策。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3" w:hRule="atLeast"/>
        </w:trPr>
        <w:tc>
          <w:tcPr>
            <w:tcW w:w="8522" w:type="dxa"/>
          </w:tcPr>
          <w:p>
            <w:pPr>
              <w:pStyle w:val="28"/>
              <w:widowControl w:val="0"/>
            </w:pPr>
          </w:p>
          <w:p>
            <w:pPr>
              <w:pStyle w:val="27"/>
              <w:widowControl w:val="0"/>
              <w:jc w:val="left"/>
              <w:rPr>
                <w:b/>
                <w:bCs/>
                <w:sz w:val="24"/>
                <w:szCs w:val="24"/>
              </w:rPr>
            </w:pPr>
            <w:r>
              <w:rPr>
                <w:rFonts w:hint="eastAsia"/>
                <w:b/>
                <w:bCs/>
                <w:sz w:val="24"/>
                <w:szCs w:val="24"/>
              </w:rPr>
              <w:t>2.10、项目变动情况</w:t>
            </w:r>
          </w:p>
          <w:p>
            <w:pPr>
              <w:widowControl w:val="0"/>
              <w:ind w:firstLine="480"/>
              <w:jc w:val="both"/>
            </w:pPr>
            <w:r>
              <w:rPr>
                <w:rFonts w:hint="eastAsia"/>
              </w:rPr>
              <w:t>废水排放系统：原环评“冲洗废水及生活污水经隔油池、化粪池预处理后进入污水管网”。由于滨江大道污水管网还没有修到项目所在位置，现该项目建设一座5t</w:t>
            </w:r>
            <w:r>
              <w:t>/d</w:t>
            </w:r>
            <w:r>
              <w:rPr>
                <w:rFonts w:hint="eastAsia"/>
              </w:rPr>
              <w:t xml:space="preserve">隔油池+生活污水处理装置，项目的冲洗废水和生活污水经隔油池处理，再经生活污水处理装置处理，尾水经吸粪车抽出，委托新民污水处理厂处理。对照《中华人民共和国环境影响评价法》第24条、参照《关于印发环评管理中部分行业建设项目重大变动清单的通知》（环办[2015]52号），本项目上述变动情况不属于重大变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widowControl w:val="0"/>
              <w:ind w:firstLine="0" w:firstLineChars="0"/>
              <w:jc w:val="both"/>
            </w:pPr>
            <w:r>
              <w:rPr>
                <w:rFonts w:hint="eastAsia"/>
                <w:b/>
                <w:bCs/>
              </w:rPr>
              <w:t>2.11、主要工艺流程及产物环节：</w:t>
            </w:r>
          </w:p>
          <w:p>
            <w:pPr>
              <w:widowControl w:val="0"/>
              <w:ind w:left="964" w:hanging="964" w:hangingChars="400"/>
              <w:jc w:val="left"/>
              <w:rPr>
                <w:b/>
                <w:bCs/>
              </w:rPr>
            </w:pPr>
            <w:r>
              <w:rPr>
                <w:rFonts w:hint="eastAsia"/>
                <w:b/>
                <w:bCs/>
              </w:rPr>
              <w:t>（1）加气站</w:t>
            </w:r>
            <w:r>
              <w:rPr>
                <w:b/>
                <w:bCs/>
              </w:rPr>
              <w:t>工艺流程及说明</w:t>
            </w:r>
          </w:p>
          <w:p>
            <w:pPr>
              <w:pStyle w:val="14"/>
              <w:jc w:val="left"/>
            </w:pPr>
            <w:r>
              <w:rPr>
                <w:rFonts w:hint="eastAsia"/>
              </w:rPr>
              <w:t>本项目加气部分工艺流程及产污情况见下图</w:t>
            </w:r>
          </w:p>
          <w:p>
            <w:pPr>
              <w:pStyle w:val="14"/>
              <w:jc w:val="left"/>
            </w:pPr>
            <w:r>
              <w:drawing>
                <wp:inline distT="0" distB="0" distL="0" distR="0">
                  <wp:extent cx="5168900" cy="2419350"/>
                  <wp:effectExtent l="0" t="0" r="0" b="0"/>
                  <wp:docPr id="11" name="图片 11" descr="C:\Users\admin\Desktop\截图2021081519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截图202108151945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68900" cy="2419350"/>
                          </a:xfrm>
                          <a:prstGeom prst="rect">
                            <a:avLst/>
                          </a:prstGeom>
                          <a:noFill/>
                          <a:ln>
                            <a:noFill/>
                          </a:ln>
                        </pic:spPr>
                      </pic:pic>
                    </a:graphicData>
                  </a:graphic>
                </wp:inline>
              </w:drawing>
            </w:r>
          </w:p>
          <w:p>
            <w:pPr>
              <w:pStyle w:val="14"/>
              <w:jc w:val="left"/>
            </w:pPr>
          </w:p>
          <w:p>
            <w:pPr>
              <w:widowControl w:val="0"/>
              <w:ind w:firstLine="0" w:firstLineChars="0"/>
              <w:jc w:val="both"/>
              <w:rPr>
                <w:b/>
                <w:color w:val="000000"/>
              </w:rPr>
            </w:pPr>
            <w:r>
              <w:rPr>
                <w:b/>
                <w:color w:val="000000"/>
              </w:rPr>
              <w:t>生产工艺流程简介：</w:t>
            </w:r>
          </w:p>
          <w:p>
            <w:pPr>
              <w:widowControl w:val="0"/>
              <w:ind w:firstLine="482"/>
              <w:jc w:val="both"/>
              <w:rPr>
                <w:b/>
                <w:bCs/>
              </w:rPr>
            </w:pPr>
            <w:r>
              <w:rPr>
                <w:b/>
                <w:bCs/>
              </w:rPr>
              <w:t>生产工艺流程说明：</w:t>
            </w:r>
          </w:p>
          <w:p>
            <w:pPr>
              <w:widowControl w:val="0"/>
              <w:ind w:firstLine="480"/>
              <w:jc w:val="both"/>
              <w:rPr>
                <w:kern w:val="24"/>
                <w:szCs w:val="22"/>
              </w:rPr>
            </w:pPr>
            <w:r>
              <w:rPr>
                <w:rFonts w:hint="eastAsia"/>
                <w:kern w:val="24"/>
                <w:szCs w:val="22"/>
              </w:rPr>
              <w:t>LNG加气主要分为4个部分，卸车流程、升压流程、加气流程、卸压流程。</w:t>
            </w:r>
          </w:p>
          <w:p>
            <w:pPr>
              <w:pStyle w:val="34"/>
              <w:widowControl w:val="0"/>
              <w:numPr>
                <w:ilvl w:val="0"/>
                <w:numId w:val="5"/>
              </w:numPr>
              <w:ind w:firstLineChars="0"/>
              <w:jc w:val="both"/>
              <w:rPr>
                <w:kern w:val="24"/>
                <w:szCs w:val="22"/>
              </w:rPr>
            </w:pPr>
            <w:r>
              <w:rPr>
                <w:kern w:val="24"/>
                <w:szCs w:val="22"/>
              </w:rPr>
              <w:t>卸车</w:t>
            </w:r>
          </w:p>
          <w:p>
            <w:pPr>
              <w:widowControl w:val="0"/>
              <w:ind w:firstLine="480"/>
              <w:jc w:val="both"/>
              <w:rPr>
                <w:kern w:val="24"/>
                <w:szCs w:val="22"/>
              </w:rPr>
            </w:pPr>
            <w:r>
              <w:rPr>
                <w:kern w:val="24"/>
                <w:szCs w:val="22"/>
              </w:rPr>
              <w:t>本站选用增压器和泵联合卸车方式将汽车槽车内的LNG转移至LNG低温储罐内。首先利用增压器将LNG槽车和LNG储罐之间的气相空气连通，使得两个设备之间气相压力大致达到平衡，然后通过潜液泵将槽车中的LNG输送到低温储罐中。完成卸车操作需1.5小时左右。</w:t>
            </w:r>
          </w:p>
          <w:p>
            <w:pPr>
              <w:pStyle w:val="34"/>
              <w:widowControl w:val="0"/>
              <w:numPr>
                <w:ilvl w:val="0"/>
                <w:numId w:val="5"/>
              </w:numPr>
              <w:ind w:firstLineChars="0"/>
              <w:jc w:val="both"/>
              <w:rPr>
                <w:kern w:val="24"/>
                <w:szCs w:val="22"/>
              </w:rPr>
            </w:pPr>
            <w:r>
              <w:rPr>
                <w:kern w:val="24"/>
                <w:szCs w:val="22"/>
              </w:rPr>
              <w:t>升压</w:t>
            </w:r>
          </w:p>
          <w:p>
            <w:pPr>
              <w:widowControl w:val="0"/>
              <w:ind w:firstLineChars="0"/>
              <w:jc w:val="both"/>
              <w:rPr>
                <w:kern w:val="24"/>
                <w:szCs w:val="22"/>
              </w:rPr>
            </w:pPr>
            <w:r>
              <w:rPr>
                <w:kern w:val="24"/>
                <w:szCs w:val="22"/>
              </w:rPr>
              <w:t>LNG饱和液体压力越低越有利于长途运输，由于LNG汽车车载储气瓶的压力相对较高，因此LNG由槽车送至加气站时需要对加气站的LNG储罐进行升压升温，得到一定压力的饱和液体，以满足LNG汽车的使用。在对加气站的LNG储罐升压的同时也提高了LNG的液相饱和温度。储罐内LNG经潜液泵、储罐增压器升温、升压至-145°C、0.5MPa成为饱和LNG液体，储存在LNG储罐内备用。</w:t>
            </w:r>
          </w:p>
          <w:p>
            <w:pPr>
              <w:pStyle w:val="34"/>
              <w:widowControl w:val="0"/>
              <w:numPr>
                <w:ilvl w:val="0"/>
                <w:numId w:val="5"/>
              </w:numPr>
              <w:ind w:firstLineChars="0"/>
              <w:jc w:val="both"/>
              <w:rPr>
                <w:kern w:val="24"/>
                <w:szCs w:val="22"/>
              </w:rPr>
            </w:pPr>
            <w:r>
              <w:rPr>
                <w:kern w:val="24"/>
                <w:szCs w:val="22"/>
              </w:rPr>
              <w:t>LNG加气流程</w:t>
            </w:r>
          </w:p>
          <w:p>
            <w:pPr>
              <w:widowControl w:val="0"/>
              <w:ind w:firstLine="480"/>
              <w:jc w:val="both"/>
              <w:rPr>
                <w:kern w:val="24"/>
                <w:szCs w:val="22"/>
              </w:rPr>
            </w:pPr>
            <w:r>
              <w:rPr>
                <w:kern w:val="24"/>
                <w:szCs w:val="22"/>
              </w:rPr>
              <w:t>储罐内饱和LNG液体由潜液泵加压后送入加气机。给车辆加气，先将加气机上的加注管路通过专用的LNG加液枪与LNG汽车上的车载LNG低温气瓶的进液口相连接;通过LNG储罐的压力将LNG输送到潜液泵中，通过加气机来控制潜液泵运转输送的流量，潜液泵将LNG液体加压，LNG液体通过低温管路、阀门、加液枪加注到车载LNG低温气瓶中。</w:t>
            </w:r>
          </w:p>
          <w:p>
            <w:pPr>
              <w:pStyle w:val="34"/>
              <w:widowControl w:val="0"/>
              <w:numPr>
                <w:ilvl w:val="0"/>
                <w:numId w:val="5"/>
              </w:numPr>
              <w:ind w:firstLineChars="0"/>
              <w:jc w:val="both"/>
              <w:rPr>
                <w:kern w:val="24"/>
                <w:szCs w:val="22"/>
              </w:rPr>
            </w:pPr>
            <w:r>
              <w:rPr>
                <w:kern w:val="24"/>
                <w:szCs w:val="22"/>
              </w:rPr>
              <w:t>卸压流程</w:t>
            </w:r>
          </w:p>
          <w:p>
            <w:pPr>
              <w:widowControl w:val="0"/>
              <w:ind w:firstLine="480"/>
              <w:jc w:val="both"/>
              <w:rPr>
                <w:kern w:val="24"/>
                <w:szCs w:val="22"/>
              </w:rPr>
            </w:pPr>
            <w:r>
              <w:rPr>
                <w:kern w:val="24"/>
                <w:szCs w:val="22"/>
              </w:rPr>
              <w:t>由于系统漏热以及外界带进的热量致使LNG气化，产生的气体会使压力升高。当系统压力大于设定值时，系统中的安全阀打开，释放系统中的气体，降低压力，保证系统安全。所有泄放气体均经EAG加热器加热，通过集中放散管排到大气中。</w:t>
            </w:r>
          </w:p>
          <w:p>
            <w:pPr>
              <w:pStyle w:val="34"/>
              <w:widowControl w:val="0"/>
              <w:numPr>
                <w:ilvl w:val="0"/>
                <w:numId w:val="5"/>
              </w:numPr>
              <w:ind w:firstLineChars="0"/>
              <w:jc w:val="both"/>
              <w:rPr>
                <w:kern w:val="24"/>
                <w:szCs w:val="22"/>
              </w:rPr>
            </w:pPr>
            <w:r>
              <w:rPr>
                <w:kern w:val="24"/>
                <w:szCs w:val="22"/>
              </w:rPr>
              <w:t>回收系统</w:t>
            </w:r>
          </w:p>
          <w:p>
            <w:pPr>
              <w:widowControl w:val="0"/>
              <w:ind w:firstLine="480"/>
              <w:jc w:val="both"/>
              <w:rPr>
                <w:kern w:val="24"/>
                <w:szCs w:val="22"/>
              </w:rPr>
            </w:pPr>
            <w:r>
              <w:rPr>
                <w:kern w:val="24"/>
                <w:szCs w:val="22"/>
              </w:rPr>
              <w:t>加气站在</w:t>
            </w:r>
            <w:r>
              <w:rPr>
                <w:rFonts w:hint="eastAsia"/>
                <w:kern w:val="24"/>
                <w:szCs w:val="22"/>
              </w:rPr>
              <w:t>卸车流程、升压流程、加气</w:t>
            </w:r>
            <w:r>
              <w:rPr>
                <w:kern w:val="24"/>
                <w:szCs w:val="22"/>
              </w:rPr>
              <w:t>过程中，接头处会有微量天然气溢出。配套增加了一路回收管线，将生产销售过程中容易泄露环节的气体全部回收到这条管线中，再回收到LNG储罐里进行收集。</w:t>
            </w:r>
          </w:p>
          <w:p>
            <w:pPr>
              <w:pStyle w:val="2"/>
              <w:widowControl w:val="0"/>
              <w:numPr>
                <w:ilvl w:val="0"/>
                <w:numId w:val="3"/>
              </w:numPr>
              <w:ind w:firstLine="0" w:firstLineChars="0"/>
              <w:jc w:val="both"/>
              <w:rPr>
                <w:b/>
                <w:lang w:val="en-US"/>
              </w:rPr>
            </w:pPr>
            <w:r>
              <w:rPr>
                <w:rFonts w:hint="eastAsia"/>
                <w:b/>
                <w:lang w:val="en-US"/>
              </w:rPr>
              <w:t>加油工艺流程及简述</w:t>
            </w:r>
          </w:p>
          <w:p>
            <w:pPr>
              <w:widowControl w:val="0"/>
              <w:ind w:firstLine="480"/>
              <w:jc w:val="both"/>
            </w:pPr>
            <w:r>
              <w:rPr>
                <w:rFonts w:hint="eastAsia"/>
              </w:rPr>
              <w:t xml:space="preserve"> </w:t>
            </w:r>
            <w:r>
              <w:t xml:space="preserve">  </w:t>
            </w:r>
          </w:p>
          <w:p>
            <w:pPr>
              <w:widowControl w:val="0"/>
              <w:ind w:firstLine="480"/>
              <w:jc w:val="both"/>
            </w:pPr>
            <w:r>
              <w:drawing>
                <wp:inline distT="0" distB="0" distL="0" distR="0">
                  <wp:extent cx="4809490" cy="21463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13153" cy="2147805"/>
                          </a:xfrm>
                          <a:prstGeom prst="rect">
                            <a:avLst/>
                          </a:prstGeom>
                          <a:noFill/>
                          <a:ln>
                            <a:noFill/>
                          </a:ln>
                        </pic:spPr>
                      </pic:pic>
                    </a:graphicData>
                  </a:graphic>
                </wp:inline>
              </w:drawing>
            </w:r>
          </w:p>
          <w:p>
            <w:pPr>
              <w:widowControl w:val="0"/>
              <w:ind w:firstLine="480"/>
              <w:jc w:val="both"/>
            </w:pPr>
            <w:r>
              <w:rPr>
                <w:rFonts w:hint="eastAsia"/>
              </w:rPr>
              <w:t>加油工艺说明</w:t>
            </w:r>
            <w:r>
              <w:t>：</w:t>
            </w:r>
          </w:p>
          <w:p>
            <w:pPr>
              <w:widowControl w:val="0"/>
              <w:ind w:firstLine="480"/>
              <w:jc w:val="both"/>
            </w:pPr>
            <w:r>
              <w:t>油类采用罐车运输至</w:t>
            </w:r>
            <w:r>
              <w:rPr>
                <w:rFonts w:hint="eastAsia"/>
              </w:rPr>
              <w:t>本</w:t>
            </w:r>
            <w:r>
              <w:t>站。卸油过程是用油泵将槽罐车内的油类注入埋地的储油罐内，在此过程中停留在罐内的烃类气体被液体置换，大部分经进油口的油气回收装置，从储油罐进入槽罐车，小部分通过呼吸口进入大气。加油过程是通过站内的双枪加油机把油类充入汽车的油箱内，本过程中油箱内的大部分非甲烷总烃经加油枪的油气回收装置回收入储油罐内，少部分烃类气体会被液体置换排入大气。</w:t>
            </w:r>
            <w:r>
              <w:rPr>
                <w:rFonts w:hint="eastAsia"/>
              </w:rPr>
              <w:t xml:space="preserve">   </w:t>
            </w:r>
          </w:p>
          <w:p>
            <w:pPr>
              <w:widowControl w:val="0"/>
              <w:ind w:firstLine="480"/>
              <w:jc w:val="both"/>
            </w:pPr>
            <w:r>
              <w:rPr>
                <w:rFonts w:hint="eastAsia"/>
              </w:rPr>
              <w:t>卸油油气回收是指油罐车卸油时采用密封式卸油，减少油气向外界溢散。其基本原理是：油罐车卸下一定数量的油品，就需吸入大致相等的气体补气，而加油站内的埋地油罐也因注入油品而向外排出相当数量的油气，此油气经过导管重新输回油罐车内，完成油气循环的卸油过程。回收到油罐车内的油气，可由油罐车带回油库后，再经冷凝、吸附或燃烧等方式处理。</w:t>
            </w:r>
          </w:p>
          <w:p>
            <w:pPr>
              <w:widowControl w:val="0"/>
              <w:ind w:firstLine="480"/>
              <w:jc w:val="both"/>
            </w:pPr>
            <w:r>
              <w:rPr>
                <w:rFonts w:hint="eastAsia"/>
              </w:rPr>
              <w:t>加油油气回收是指汽车加油时，利用加油枪上的特殊装置，将原本会由汽车油箱溢散于空气中的油气，经加油枪、抽气马达、回收入油罐内。</w:t>
            </w:r>
          </w:p>
          <w:p>
            <w:pPr>
              <w:pStyle w:val="2"/>
              <w:widowControl w:val="0"/>
              <w:ind w:firstLine="0" w:firstLineChars="0"/>
              <w:jc w:val="both"/>
              <w:rPr>
                <w:lang w:val="en-US"/>
              </w:rPr>
            </w:pPr>
          </w:p>
        </w:tc>
      </w:tr>
    </w:tbl>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hint="eastAsia"/>
          <w:b/>
          <w:bCs/>
        </w:rPr>
      </w:pPr>
      <w:r>
        <w:rPr>
          <w:b/>
          <w:bCs/>
        </w:rPr>
        <w:t>表</w:t>
      </w:r>
      <w:r>
        <w:rPr>
          <w:rFonts w:hint="eastAsia"/>
          <w:b/>
          <w:bCs/>
        </w:rPr>
        <w:t>三</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9" w:hRule="atLeast"/>
        </w:trPr>
        <w:tc>
          <w:tcPr>
            <w:tcW w:w="8522" w:type="dxa"/>
          </w:tcPr>
          <w:p>
            <w:pPr>
              <w:widowControl w:val="0"/>
              <w:spacing w:line="360" w:lineRule="exact"/>
              <w:ind w:firstLine="0" w:firstLineChars="0"/>
              <w:jc w:val="both"/>
              <w:rPr>
                <w:rFonts w:ascii="宋体" w:hAnsi="宋体" w:cs="宋体"/>
              </w:rPr>
            </w:pPr>
            <w:r>
              <w:rPr>
                <w:rFonts w:hint="eastAsia"/>
              </w:rPr>
              <w:t>主要污染源、污染物处理和排放调查：</w:t>
            </w:r>
          </w:p>
          <w:p>
            <w:pPr>
              <w:widowControl w:val="0"/>
              <w:ind w:firstLine="0" w:firstLineChars="0"/>
              <w:jc w:val="both"/>
              <w:rPr>
                <w:b/>
              </w:rPr>
            </w:pPr>
            <w:r>
              <w:rPr>
                <w:b/>
              </w:rPr>
              <w:t>1、废</w:t>
            </w:r>
            <w:r>
              <w:rPr>
                <w:rFonts w:hint="eastAsia"/>
                <w:b/>
              </w:rPr>
              <w:t>水</w:t>
            </w:r>
          </w:p>
          <w:p>
            <w:pPr>
              <w:widowControl w:val="0"/>
              <w:ind w:firstLine="480"/>
              <w:jc w:val="both"/>
              <w:rPr>
                <w:color w:val="000000"/>
              </w:rPr>
            </w:pPr>
            <w:r>
              <w:rPr>
                <w:rFonts w:hint="eastAsia"/>
                <w:color w:val="000000"/>
              </w:rPr>
              <w:t>在项目验收期间，废水的主要来源于生活废水和冲洗废水。</w:t>
            </w:r>
          </w:p>
          <w:p>
            <w:pPr>
              <w:pStyle w:val="34"/>
              <w:widowControl w:val="0"/>
              <w:numPr>
                <w:ilvl w:val="0"/>
                <w:numId w:val="6"/>
              </w:numPr>
              <w:ind w:firstLineChars="0"/>
              <w:jc w:val="both"/>
              <w:rPr>
                <w:color w:val="000000"/>
                <w:sz w:val="23"/>
              </w:rPr>
            </w:pPr>
            <w:r>
              <w:rPr>
                <w:rFonts w:hint="eastAsia"/>
                <w:color w:val="000000"/>
              </w:rPr>
              <w:t>生活</w:t>
            </w:r>
            <w:r>
              <w:rPr>
                <w:color w:val="000000"/>
              </w:rPr>
              <w:t>废</w:t>
            </w:r>
            <w:r>
              <w:rPr>
                <w:rFonts w:hint="eastAsia"/>
                <w:color w:val="000000"/>
              </w:rPr>
              <w:t>水</w:t>
            </w:r>
          </w:p>
          <w:p>
            <w:pPr>
              <w:widowControl w:val="0"/>
              <w:ind w:firstLine="480"/>
              <w:jc w:val="both"/>
              <w:rPr>
                <w:rFonts w:hAnsi="宋体"/>
              </w:rPr>
            </w:pPr>
            <w:r>
              <w:rPr>
                <w:rFonts w:hAnsi="宋体"/>
              </w:rPr>
              <w:t>项目</w:t>
            </w:r>
            <w:r>
              <w:rPr>
                <w:rFonts w:hint="eastAsia" w:hAnsi="宋体"/>
              </w:rPr>
              <w:t>劳</w:t>
            </w:r>
            <w:r>
              <w:t>动定员1</w:t>
            </w:r>
            <w:r>
              <w:rPr>
                <w:rFonts w:hint="eastAsia"/>
              </w:rPr>
              <w:t>0</w:t>
            </w:r>
            <w:r>
              <w:t>人，项目不设食堂，无宿舍。生活</w:t>
            </w:r>
            <w:r>
              <w:rPr>
                <w:rFonts w:hint="eastAsia" w:hAnsi="宋体"/>
              </w:rPr>
              <w:t>用水以每人耗水50L/d计，项目年工作天数为365天，则生活用水量为0.5t/d，182.5t/a。过往客人按400人/d计，生</w:t>
            </w:r>
            <w:r>
              <w:t>活</w:t>
            </w:r>
            <w:r>
              <w:rPr>
                <w:rFonts w:hint="eastAsia" w:hAnsi="宋体"/>
              </w:rPr>
              <w:t>用水以每人耗水0.5L/d计，生活用水量为0.2t/d，73t/a。生活污水排放量按用水量85%计，则生活污水排放量为0.6/d，219t/a。</w:t>
            </w:r>
          </w:p>
          <w:p>
            <w:pPr>
              <w:pStyle w:val="34"/>
              <w:widowControl w:val="0"/>
              <w:numPr>
                <w:ilvl w:val="0"/>
                <w:numId w:val="6"/>
              </w:numPr>
              <w:ind w:firstLineChars="0"/>
              <w:jc w:val="both"/>
              <w:rPr>
                <w:color w:val="000000"/>
              </w:rPr>
            </w:pPr>
            <w:r>
              <w:rPr>
                <w:color w:val="000000"/>
              </w:rPr>
              <w:t>场地冲洗废</w:t>
            </w:r>
            <w:r>
              <w:rPr>
                <w:rFonts w:hint="eastAsia"/>
                <w:color w:val="000000"/>
              </w:rPr>
              <w:t>水</w:t>
            </w:r>
          </w:p>
          <w:p>
            <w:pPr>
              <w:widowControl w:val="0"/>
              <w:ind w:firstLine="480"/>
              <w:jc w:val="both"/>
              <w:rPr>
                <w:rFonts w:ascii="宋体" w:hAnsi="宋体"/>
                <w:color w:val="000000"/>
              </w:rPr>
            </w:pPr>
            <w:r>
              <w:rPr>
                <w:rFonts w:hint="eastAsia" w:ascii="宋体" w:hAnsi="宋体"/>
                <w:color w:val="000000"/>
              </w:rPr>
              <w:t>在</w:t>
            </w:r>
            <w:r>
              <w:rPr>
                <w:rFonts w:ascii="宋体" w:hAnsi="宋体"/>
                <w:color w:val="000000"/>
              </w:rPr>
              <w:t>项目</w:t>
            </w:r>
            <w:r>
              <w:rPr>
                <w:rFonts w:hint="eastAsia" w:ascii="宋体" w:hAnsi="宋体"/>
                <w:color w:val="000000"/>
              </w:rPr>
              <w:t>验收期间</w:t>
            </w:r>
            <w:r>
              <w:rPr>
                <w:rFonts w:ascii="宋体" w:hAnsi="宋体"/>
                <w:color w:val="000000"/>
              </w:rPr>
              <w:t>，油罐车运输、装卸和加油过程中存在着少量油料跑、冒、漏、滴在地面的现象。营业期间需对地面进行定期冲洗，地面冲洗过程中将产生含油的废水，其污染物主要为石油类。一般加油站场地每三天冲洗</w:t>
            </w:r>
            <w:r>
              <w:rPr>
                <w:rFonts w:eastAsia="Times New Roman"/>
                <w:color w:val="000000"/>
              </w:rPr>
              <w:t>1</w:t>
            </w:r>
            <w:r>
              <w:rPr>
                <w:rFonts w:ascii="宋体" w:hAnsi="宋体"/>
                <w:color w:val="000000"/>
              </w:rPr>
              <w:t>次，本项目场地冲洗每次预计用水量为</w:t>
            </w:r>
            <w:r>
              <w:rPr>
                <w:rFonts w:eastAsia="Times New Roman"/>
                <w:color w:val="000000"/>
              </w:rPr>
              <w:t>0.7</w:t>
            </w:r>
            <w:r>
              <w:rPr>
                <w:rFonts w:hint="eastAsia"/>
                <w:color w:val="000000"/>
              </w:rPr>
              <w:t>t</w:t>
            </w:r>
            <w:r>
              <w:rPr>
                <w:rFonts w:ascii="宋体" w:hAnsi="宋体"/>
                <w:color w:val="000000"/>
              </w:rPr>
              <w:t>，项目年营业天数按</w:t>
            </w:r>
            <w:r>
              <w:rPr>
                <w:rFonts w:eastAsia="Times New Roman"/>
                <w:color w:val="000000"/>
              </w:rPr>
              <w:t>365</w:t>
            </w:r>
            <w:r>
              <w:rPr>
                <w:rFonts w:ascii="宋体" w:hAnsi="宋体"/>
                <w:color w:val="000000"/>
              </w:rPr>
              <w:t>天计，则项目场地冲洗水用量为</w:t>
            </w:r>
            <w:r>
              <w:rPr>
                <w:rFonts w:eastAsia="Times New Roman"/>
                <w:color w:val="000000"/>
              </w:rPr>
              <w:t>0.23</w:t>
            </w:r>
            <w:r>
              <w:rPr>
                <w:rFonts w:hint="eastAsia"/>
                <w:color w:val="000000"/>
              </w:rPr>
              <w:t>t</w:t>
            </w:r>
            <w:r>
              <w:rPr>
                <w:rFonts w:eastAsia="Times New Roman"/>
                <w:color w:val="000000"/>
              </w:rPr>
              <w:t>/d</w:t>
            </w:r>
            <w:r>
              <w:rPr>
                <w:rFonts w:ascii="宋体" w:hAnsi="宋体"/>
                <w:color w:val="000000"/>
              </w:rPr>
              <w:t>（</w:t>
            </w:r>
            <w:r>
              <w:rPr>
                <w:rFonts w:eastAsia="Times New Roman"/>
                <w:color w:val="000000"/>
              </w:rPr>
              <w:t>85</w:t>
            </w:r>
            <w:r>
              <w:rPr>
                <w:rFonts w:hint="eastAsia"/>
                <w:color w:val="000000"/>
              </w:rPr>
              <w:t>t</w:t>
            </w:r>
            <w:r>
              <w:rPr>
                <w:rFonts w:eastAsia="Times New Roman"/>
                <w:color w:val="000000"/>
              </w:rPr>
              <w:t>/a</w:t>
            </w:r>
            <w:r>
              <w:rPr>
                <w:rFonts w:ascii="宋体" w:hAnsi="宋体"/>
                <w:color w:val="000000"/>
              </w:rPr>
              <w:t>），废水排放量按用水量的</w:t>
            </w:r>
            <w:r>
              <w:rPr>
                <w:rFonts w:eastAsia="Times New Roman"/>
                <w:color w:val="000000"/>
              </w:rPr>
              <w:t>8</w:t>
            </w:r>
            <w:r>
              <w:rPr>
                <w:rFonts w:hint="eastAsia"/>
                <w:color w:val="000000"/>
              </w:rPr>
              <w:t>5</w:t>
            </w:r>
            <w:r>
              <w:rPr>
                <w:rFonts w:eastAsia="Times New Roman"/>
                <w:color w:val="000000"/>
              </w:rPr>
              <w:t>%</w:t>
            </w:r>
            <w:r>
              <w:rPr>
                <w:rFonts w:ascii="宋体" w:hAnsi="宋体"/>
                <w:color w:val="000000"/>
              </w:rPr>
              <w:t>计，则项目冲洗废水排放量约为</w:t>
            </w:r>
            <w:r>
              <w:rPr>
                <w:rFonts w:eastAsia="Times New Roman"/>
                <w:color w:val="000000"/>
              </w:rPr>
              <w:t>0.</w:t>
            </w:r>
            <w:r>
              <w:rPr>
                <w:rFonts w:hint="eastAsia"/>
                <w:color w:val="000000"/>
              </w:rPr>
              <w:t>20t</w:t>
            </w:r>
            <w:r>
              <w:rPr>
                <w:rFonts w:eastAsia="Times New Roman"/>
                <w:color w:val="000000"/>
              </w:rPr>
              <w:t>/d</w:t>
            </w:r>
            <w:r>
              <w:rPr>
                <w:rFonts w:ascii="宋体" w:hAnsi="宋体"/>
                <w:color w:val="000000"/>
              </w:rPr>
              <w:t>（</w:t>
            </w:r>
            <w:r>
              <w:rPr>
                <w:rFonts w:hint="eastAsia"/>
                <w:color w:val="000000"/>
              </w:rPr>
              <w:t>73t</w:t>
            </w:r>
            <w:r>
              <w:rPr>
                <w:rFonts w:eastAsia="Times New Roman"/>
                <w:color w:val="000000"/>
              </w:rPr>
              <w:t>/a</w:t>
            </w:r>
            <w:r>
              <w:rPr>
                <w:rFonts w:ascii="宋体" w:hAnsi="宋体"/>
                <w:color w:val="000000"/>
              </w:rPr>
              <w:t>）。</w:t>
            </w:r>
          </w:p>
          <w:p>
            <w:pPr>
              <w:widowControl w:val="0"/>
              <w:ind w:firstLine="472"/>
              <w:jc w:val="both"/>
            </w:pPr>
            <w:r>
              <w:rPr>
                <w:spacing w:val="-2"/>
              </w:rPr>
              <w:t>废水排放去向</w:t>
            </w:r>
            <w:r>
              <w:rPr>
                <w:rFonts w:hint="eastAsia"/>
                <w:spacing w:val="-2"/>
              </w:rPr>
              <w:t>：冲洗废水经隔油池处理与经化粪池处理的</w:t>
            </w:r>
            <w:r>
              <w:t>生活污水</w:t>
            </w:r>
            <w:r>
              <w:rPr>
                <w:rFonts w:hint="eastAsia"/>
              </w:rPr>
              <w:t>，进入站区的5t</w:t>
            </w:r>
            <w:r>
              <w:t>/d</w:t>
            </w:r>
            <w:r>
              <w:rPr>
                <w:rFonts w:hint="eastAsia"/>
              </w:rPr>
              <w:t>的生活污水处理站处理，请吸粪车抽取，委托新民污水处理厂</w:t>
            </w:r>
            <w:r>
              <w:t>集中处理，最终排入</w:t>
            </w:r>
            <w:r>
              <w:rPr>
                <w:rFonts w:hint="eastAsia"/>
              </w:rPr>
              <w:t>长江。</w:t>
            </w:r>
          </w:p>
          <w:p>
            <w:pPr>
              <w:widowControl w:val="0"/>
              <w:ind w:firstLine="480"/>
              <w:jc w:val="both"/>
            </w:pPr>
            <w:r>
              <w:rPr>
                <w:rFonts w:hint="eastAsia"/>
              </w:rPr>
              <w:t>项目废水产生情况见下表</w:t>
            </w:r>
          </w:p>
          <w:p>
            <w:pPr>
              <w:widowControl w:val="0"/>
              <w:ind w:firstLine="0" w:firstLineChars="0"/>
              <w:jc w:val="both"/>
            </w:pPr>
          </w:p>
          <w:p>
            <w:pPr>
              <w:widowControl w:val="0"/>
              <w:ind w:firstLine="482"/>
              <w:jc w:val="center"/>
              <w:rPr>
                <w:b/>
                <w:szCs w:val="21"/>
              </w:rPr>
            </w:pPr>
            <w:r>
              <w:drawing>
                <wp:inline distT="0" distB="0" distL="0" distR="0">
                  <wp:extent cx="4933950" cy="2236470"/>
                  <wp:effectExtent l="0" t="0" r="6350" b="11430"/>
                  <wp:docPr id="13" name="图片 13" descr="C:\Users\admin\Desktop\截图20210815195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截图202108151955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33950" cy="2236470"/>
                          </a:xfrm>
                          <a:prstGeom prst="rect">
                            <a:avLst/>
                          </a:prstGeom>
                          <a:noFill/>
                          <a:ln>
                            <a:noFill/>
                          </a:ln>
                        </pic:spPr>
                      </pic:pic>
                    </a:graphicData>
                  </a:graphic>
                </wp:inline>
              </w:drawing>
            </w:r>
          </w:p>
          <w:p>
            <w:pPr>
              <w:widowControl w:val="0"/>
              <w:ind w:firstLine="482"/>
              <w:jc w:val="center"/>
            </w:pPr>
            <w:r>
              <w:rPr>
                <w:b/>
                <w:szCs w:val="21"/>
              </w:rPr>
              <w:t>表1</w:t>
            </w:r>
            <w:r>
              <w:rPr>
                <w:rFonts w:hint="eastAsia"/>
                <w:b/>
                <w:szCs w:val="21"/>
              </w:rPr>
              <w:t xml:space="preserve">7 </w:t>
            </w:r>
            <w:r>
              <w:rPr>
                <w:b/>
                <w:szCs w:val="21"/>
              </w:rPr>
              <w:t xml:space="preserve">   项目废水产生及排放情况表</w:t>
            </w:r>
          </w:p>
          <w:p>
            <w:pPr>
              <w:pStyle w:val="12"/>
              <w:widowControl w:val="0"/>
              <w:ind w:firstLine="480"/>
              <w:jc w:val="both"/>
            </w:pPr>
            <w:r>
              <w:rPr>
                <w:rFonts w:hint="eastAsia" w:ascii="Times New Roman" w:hAnsi="Times New Roman"/>
              </w:rPr>
              <w:t>建设项目日用水量平衡图见下图。</w:t>
            </w:r>
            <w:r>
              <w:rPr>
                <w:rFonts w:ascii="Arial" w:hAnsi="Arial" w:cs="Arial"/>
              </w:rPr>
              <w:t xml:space="preserve"> </w:t>
            </w:r>
          </w:p>
          <w:p>
            <w:pPr>
              <w:widowControl w:val="0"/>
              <w:ind w:firstLine="480"/>
              <w:jc w:val="both"/>
            </w:pPr>
            <w:r>
              <w:drawing>
                <wp:inline distT="0" distB="0" distL="0" distR="0">
                  <wp:extent cx="4959350" cy="1219200"/>
                  <wp:effectExtent l="0" t="0" r="0" b="0"/>
                  <wp:docPr id="12" name="图片 12" descr="C:\Users\admin\Desktop\截图20210815195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截图202108151953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59350" cy="1219200"/>
                          </a:xfrm>
                          <a:prstGeom prst="rect">
                            <a:avLst/>
                          </a:prstGeom>
                          <a:noFill/>
                          <a:ln>
                            <a:noFill/>
                          </a:ln>
                        </pic:spPr>
                      </pic:pic>
                    </a:graphicData>
                  </a:graphic>
                </wp:inline>
              </w:drawing>
            </w:r>
          </w:p>
          <w:p>
            <w:pPr>
              <w:widowControl w:val="0"/>
              <w:ind w:firstLine="480"/>
              <w:jc w:val="both"/>
            </w:pPr>
            <w:r>
              <w:t>本项目投入营运后，生活污水</w:t>
            </w:r>
            <w:r>
              <w:rPr>
                <w:rFonts w:hint="eastAsia"/>
              </w:rPr>
              <w:t>及</w:t>
            </w:r>
            <w:r>
              <w:rPr>
                <w:color w:val="000000"/>
              </w:rPr>
              <w:t>冲洗废</w:t>
            </w:r>
            <w:r>
              <w:rPr>
                <w:rFonts w:hint="eastAsia" w:ascii="宋体" w:hAnsi="宋体"/>
                <w:color w:val="000000"/>
              </w:rPr>
              <w:t>水</w:t>
            </w:r>
            <w:r>
              <w:t>为</w:t>
            </w:r>
            <w:r>
              <w:rPr>
                <w:rFonts w:hint="eastAsia"/>
              </w:rPr>
              <w:t>292t</w:t>
            </w:r>
            <w:r>
              <w:t>/a。主要污染物为COD、BOD、SS</w:t>
            </w:r>
            <w:r>
              <w:rPr>
                <w:rFonts w:hint="eastAsia"/>
              </w:rPr>
              <w:t>、氨氮及石油类</w:t>
            </w:r>
            <w:r>
              <w:t>。</w:t>
            </w:r>
            <w:r>
              <w:rPr>
                <w:rFonts w:hint="eastAsia"/>
              </w:rPr>
              <w:t>项目冲洗废水经隔油池与经化粪池预处理的生活污水进入地埋式污水处理装置，处理后，请专人定期清掏，委托新民污水处理厂再行处理。</w:t>
            </w:r>
          </w:p>
          <w:p>
            <w:pPr>
              <w:widowControl w:val="0"/>
              <w:autoSpaceDE w:val="0"/>
              <w:autoSpaceDN w:val="0"/>
              <w:ind w:firstLine="0" w:firstLineChars="0"/>
              <w:jc w:val="left"/>
              <w:rPr>
                <w:b/>
              </w:rPr>
            </w:pPr>
            <w:r>
              <w:rPr>
                <w:rFonts w:hint="eastAsia"/>
                <w:b/>
              </w:rPr>
              <w:t>2、废气</w:t>
            </w:r>
          </w:p>
          <w:p>
            <w:pPr>
              <w:widowControl w:val="0"/>
              <w:autoSpaceDE w:val="0"/>
              <w:autoSpaceDN w:val="0"/>
              <w:ind w:firstLine="480"/>
              <w:jc w:val="left"/>
            </w:pPr>
            <w:r>
              <w:rPr>
                <w:rFonts w:hint="eastAsia"/>
              </w:rPr>
              <w:t>在验收污染源调查中，本项目大气污染物主要为L</w:t>
            </w:r>
            <w:r>
              <w:t>-CNG</w:t>
            </w:r>
            <w:r>
              <w:rPr>
                <w:rFonts w:hint="eastAsia"/>
              </w:rPr>
              <w:t>油气合建站正常运营过程中的卸油、加油产生的废气以及在LNG储罐闪蒸气、</w:t>
            </w:r>
            <w:r>
              <w:rPr>
                <w:rFonts w:hint="eastAsia"/>
                <w:kern w:val="24"/>
                <w:szCs w:val="22"/>
              </w:rPr>
              <w:t>汽车尾气、加气废气等</w:t>
            </w:r>
            <w:r>
              <w:t>。</w:t>
            </w:r>
          </w:p>
          <w:p>
            <w:pPr>
              <w:pStyle w:val="34"/>
              <w:widowControl w:val="0"/>
              <w:numPr>
                <w:ilvl w:val="0"/>
                <w:numId w:val="7"/>
              </w:numPr>
              <w:ind w:firstLineChars="0"/>
              <w:jc w:val="both"/>
              <w:rPr>
                <w:color w:val="000000"/>
              </w:rPr>
            </w:pPr>
            <w:r>
              <w:rPr>
                <w:color w:val="000000"/>
              </w:rPr>
              <w:t>加油</w:t>
            </w:r>
            <w:r>
              <w:rPr>
                <w:rFonts w:hint="eastAsia"/>
                <w:color w:val="000000"/>
              </w:rPr>
              <w:t>作业</w:t>
            </w:r>
          </w:p>
          <w:p>
            <w:pPr>
              <w:pStyle w:val="34"/>
              <w:widowControl w:val="0"/>
              <w:numPr>
                <w:ilvl w:val="0"/>
                <w:numId w:val="8"/>
              </w:numPr>
              <w:ind w:firstLineChars="0"/>
              <w:jc w:val="both"/>
              <w:rPr>
                <w:color w:val="000000"/>
              </w:rPr>
            </w:pPr>
            <w:r>
              <w:rPr>
                <w:color w:val="000000"/>
              </w:rPr>
              <w:t>油气</w:t>
            </w:r>
          </w:p>
          <w:p>
            <w:pPr>
              <w:widowControl w:val="0"/>
              <w:ind w:firstLine="480"/>
              <w:jc w:val="left"/>
              <w:rPr>
                <w:rFonts w:ascii="宋体" w:hAnsi="宋体"/>
                <w:color w:val="000000"/>
              </w:rPr>
            </w:pPr>
            <w:r>
              <w:rPr>
                <w:rFonts w:hint="eastAsia" w:ascii="宋体" w:hAnsi="宋体"/>
                <w:color w:val="000000"/>
              </w:rPr>
              <w:t>储油罐在装卸料或静止时，由于环境温度的变化和罐内压力的变化，使得罐内逸出的烃类气体通过罐顶的呼吸阀进入大气，这种现象称为储油罐大小呼吸。通过同行业类比调查，烃类气体损失表现在：</w:t>
            </w:r>
          </w:p>
          <w:p>
            <w:pPr>
              <w:widowControl w:val="0"/>
              <w:ind w:firstLine="482"/>
              <w:jc w:val="left"/>
              <w:rPr>
                <w:color w:val="000000"/>
              </w:rPr>
            </w:pPr>
            <w:r>
              <w:rPr>
                <w:rFonts w:hint="eastAsia" w:ascii="宋体" w:hAnsi="宋体"/>
                <w:b/>
                <w:color w:val="000000"/>
              </w:rPr>
              <w:t>a</w:t>
            </w:r>
            <w:r>
              <w:rPr>
                <w:rFonts w:hint="eastAsia" w:ascii="宋体" w:hAnsi="宋体"/>
                <w:color w:val="000000"/>
              </w:rPr>
              <w:t>油罐大呼吸损失是指油罐进发油时所呼出的油蒸气而造成的油品蒸发损失。油罐进油时，由于油面逐渐升高，气体空间逐渐减小，罐内压力增大，当压力超过呼吸阀控制压力时，一定浓度</w:t>
            </w:r>
            <w:r>
              <w:rPr>
                <w:color w:val="000000"/>
              </w:rPr>
              <w:t>的油蒸气开始从呼吸阀呼出，直到油罐停止收油。参考同等规模加油站的相关资料可知，储油罐大呼吸烃类有机物平均排放率为0.88kg/m</w:t>
            </w:r>
            <w:r>
              <w:rPr>
                <w:color w:val="000000"/>
                <w:vertAlign w:val="superscript"/>
              </w:rPr>
              <w:t>3</w:t>
            </w:r>
            <w:r>
              <w:rPr>
                <w:color w:val="000000"/>
              </w:rPr>
              <w:t>通过量（平衡淹没式储油罐约为0.04kg/m</w:t>
            </w:r>
            <w:r>
              <w:rPr>
                <w:color w:val="000000"/>
                <w:vertAlign w:val="superscript"/>
              </w:rPr>
              <w:t>3</w:t>
            </w:r>
            <w:r>
              <w:rPr>
                <w:color w:val="000000"/>
              </w:rPr>
              <w:t xml:space="preserve">通过量）。 </w:t>
            </w:r>
          </w:p>
          <w:p>
            <w:pPr>
              <w:widowControl w:val="0"/>
              <w:ind w:firstLine="482"/>
              <w:jc w:val="left"/>
              <w:rPr>
                <w:color w:val="000000"/>
              </w:rPr>
            </w:pPr>
            <w:r>
              <w:rPr>
                <w:rFonts w:hint="eastAsia" w:ascii="宋体" w:hAnsi="宋体"/>
                <w:b/>
                <w:color w:val="000000"/>
              </w:rPr>
              <w:t>b</w:t>
            </w:r>
            <w:r>
              <w:rPr>
                <w:rFonts w:hint="eastAsia" w:ascii="宋体" w:hAnsi="宋体"/>
                <w:color w:val="000000"/>
              </w:rPr>
              <w:t>油罐在没有收发油作业的情况下，随外界气温、压力在一天内的升降周期变化，罐内气体空间温度、油品蒸发速度、油气浓度和蒸汽压力也随之变化。这种排出油蒸气和吸入空气的过程造成的</w:t>
            </w:r>
            <w:r>
              <w:rPr>
                <w:color w:val="000000"/>
              </w:rPr>
              <w:t>油气损失，叫小呼吸损失。参考同等规模加油站的相关资料可知，储油罐小呼吸烃类有机物平均排放率为0.12kg/m</w:t>
            </w:r>
            <w:r>
              <w:rPr>
                <w:color w:val="000000"/>
                <w:vertAlign w:val="superscript"/>
              </w:rPr>
              <w:t>3</w:t>
            </w:r>
            <w:r>
              <w:rPr>
                <w:color w:val="000000"/>
              </w:rPr>
              <w:t>通过量</w:t>
            </w:r>
            <w:r>
              <w:rPr>
                <w:rFonts w:hAnsi="宋体"/>
              </w:rPr>
              <w:t>（内浮顶式、地埋式储油罐可将呼吸损失减少</w:t>
            </w:r>
            <w:r>
              <w:t>93%</w:t>
            </w:r>
            <w:r>
              <w:rPr>
                <w:rFonts w:hAnsi="宋体"/>
              </w:rPr>
              <w:t>）</w:t>
            </w:r>
            <w:r>
              <w:rPr>
                <w:color w:val="000000"/>
              </w:rPr>
              <w:t xml:space="preserve">。 </w:t>
            </w:r>
          </w:p>
          <w:p>
            <w:pPr>
              <w:widowControl w:val="0"/>
              <w:ind w:firstLine="482"/>
              <w:jc w:val="left"/>
              <w:rPr>
                <w:rFonts w:ascii="宋体" w:hAnsi="宋体"/>
                <w:color w:val="000000"/>
              </w:rPr>
            </w:pPr>
            <w:r>
              <w:rPr>
                <w:rFonts w:hint="eastAsia" w:ascii="宋体" w:hAnsi="宋体"/>
                <w:b/>
                <w:color w:val="000000"/>
              </w:rPr>
              <w:t>c</w:t>
            </w:r>
            <w:r>
              <w:rPr>
                <w:rFonts w:hint="eastAsia" w:ascii="宋体" w:hAnsi="宋体"/>
                <w:color w:val="000000"/>
              </w:rPr>
              <w:t>加油作业损失主要</w:t>
            </w:r>
            <w:r>
              <w:rPr>
                <w:color w:val="000000"/>
              </w:rPr>
              <w:t>指为车辆加油时，油品进入汽车油箱，油箱内的烃类气体被油品置换排入大气。车辆加油时造成的烃类气体排放速率分别为：置换损失未加控制时是1.08kg/m</w:t>
            </w:r>
            <w:r>
              <w:rPr>
                <w:color w:val="000000"/>
                <w:vertAlign w:val="superscript"/>
              </w:rPr>
              <w:t>3</w:t>
            </w:r>
            <w:r>
              <w:rPr>
                <w:color w:val="000000"/>
              </w:rPr>
              <w:t>通过量、置换损失控制时是0.11kg/m</w:t>
            </w:r>
            <w:r>
              <w:rPr>
                <w:color w:val="000000"/>
                <w:vertAlign w:val="superscript"/>
              </w:rPr>
              <w:t>3</w:t>
            </w:r>
            <w:r>
              <w:rPr>
                <w:color w:val="000000"/>
              </w:rPr>
              <w:t>通过量。本加油站加油枪都具有自封功能，因此本加油机作业时烃类气体排放率取0.11kg/m</w:t>
            </w:r>
            <w:r>
              <w:rPr>
                <w:color w:val="000000"/>
                <w:vertAlign w:val="superscript"/>
              </w:rPr>
              <w:t>3</w:t>
            </w:r>
            <w:r>
              <w:rPr>
                <w:color w:val="000000"/>
              </w:rPr>
              <w:t>通过量。</w:t>
            </w:r>
          </w:p>
          <w:p>
            <w:pPr>
              <w:widowControl w:val="0"/>
              <w:ind w:firstLine="482"/>
              <w:jc w:val="left"/>
              <w:rPr>
                <w:rFonts w:ascii="宋体" w:hAnsi="宋体"/>
                <w:color w:val="000000"/>
              </w:rPr>
            </w:pPr>
            <w:r>
              <w:rPr>
                <w:rFonts w:hint="eastAsia" w:ascii="宋体" w:hAnsi="宋体"/>
                <w:b/>
                <w:color w:val="000000"/>
              </w:rPr>
              <w:t>d</w:t>
            </w:r>
            <w:r>
              <w:rPr>
                <w:rFonts w:hint="eastAsia" w:ascii="宋体" w:hAnsi="宋体"/>
                <w:color w:val="000000"/>
              </w:rPr>
              <w:t>在加油机作业过程中，不可避免地有一些成品油跑、冒、滴、漏现象发生。跑冒滴漏量与加油站的管理、加油工人的操作水平等诸多因素有关，成品油的跑冒滴漏一般平均损失</w:t>
            </w:r>
            <w:r>
              <w:rPr>
                <w:color w:val="000000"/>
              </w:rPr>
              <w:t>量为0.084kg/m</w:t>
            </w:r>
            <w:r>
              <w:rPr>
                <w:color w:val="000000"/>
                <w:vertAlign w:val="superscript"/>
              </w:rPr>
              <w:t>3</w:t>
            </w:r>
            <w:r>
              <w:rPr>
                <w:color w:val="000000"/>
              </w:rPr>
              <w:t xml:space="preserve">通过量。 </w:t>
            </w:r>
          </w:p>
          <w:p>
            <w:pPr>
              <w:widowControl w:val="0"/>
              <w:ind w:firstLine="480"/>
              <w:jc w:val="left"/>
              <w:rPr>
                <w:b/>
                <w:bCs/>
                <w:color w:val="000000"/>
                <w:sz w:val="21"/>
                <w:szCs w:val="21"/>
              </w:rPr>
            </w:pPr>
            <w:r>
              <w:rPr>
                <w:rFonts w:hint="eastAsia" w:ascii="宋体" w:hAnsi="宋体"/>
                <w:color w:val="000000"/>
              </w:rPr>
              <w:t>本项目加油量为汽</w:t>
            </w:r>
            <w:r>
              <w:rPr>
                <w:color w:val="000000"/>
              </w:rPr>
              <w:t>油6.</w:t>
            </w:r>
            <w:r>
              <w:rPr>
                <w:rFonts w:hint="eastAsia"/>
                <w:color w:val="000000"/>
              </w:rPr>
              <w:t>95</w:t>
            </w:r>
            <w:r>
              <w:rPr>
                <w:color w:val="000000"/>
              </w:rPr>
              <w:t>t/d、柴油</w:t>
            </w:r>
            <w:r>
              <w:rPr>
                <w:rFonts w:hint="eastAsia"/>
              </w:rPr>
              <w:t>8.34</w:t>
            </w:r>
            <w:r>
              <w:t>t/d</w:t>
            </w:r>
            <w:r>
              <w:rPr>
                <w:color w:val="000000"/>
              </w:rPr>
              <w:t>，</w:t>
            </w:r>
            <w:r>
              <w:rPr>
                <w:rFonts w:hint="eastAsia" w:ascii="宋体" w:hAnsi="宋体"/>
                <w:color w:val="000000"/>
              </w:rPr>
              <w:t>汽油密度</w:t>
            </w:r>
            <w:r>
              <w:rPr>
                <w:rFonts w:hint="eastAsia" w:eastAsia="Times New Roman"/>
                <w:color w:val="000000"/>
              </w:rPr>
              <w:t>7</w:t>
            </w:r>
            <w:r>
              <w:rPr>
                <w:rFonts w:hint="eastAsia"/>
                <w:color w:val="000000"/>
              </w:rPr>
              <w:t>00</w:t>
            </w:r>
            <w:r>
              <w:rPr>
                <w:rFonts w:hint="eastAsia" w:eastAsia="Times New Roman"/>
                <w:color w:val="000000"/>
              </w:rPr>
              <w:t>~</w:t>
            </w:r>
            <w:r>
              <w:rPr>
                <w:rFonts w:hint="eastAsia"/>
                <w:color w:val="000000"/>
              </w:rPr>
              <w:t>790k</w:t>
            </w:r>
            <w:r>
              <w:rPr>
                <w:rFonts w:hint="eastAsia" w:eastAsia="Times New Roman"/>
                <w:color w:val="000000"/>
              </w:rPr>
              <w:t>g/m</w:t>
            </w:r>
            <w:r>
              <w:rPr>
                <w:rFonts w:hint="eastAsia" w:eastAsia="Times New Roman"/>
                <w:color w:val="000000"/>
                <w:vertAlign w:val="superscript"/>
              </w:rPr>
              <w:t>3</w:t>
            </w:r>
            <w:r>
              <w:rPr>
                <w:rFonts w:hint="eastAsia" w:ascii="宋体" w:hAnsi="宋体"/>
                <w:color w:val="000000"/>
              </w:rPr>
              <w:t>，本次评价取</w:t>
            </w:r>
            <w:r>
              <w:rPr>
                <w:rFonts w:hint="eastAsia" w:eastAsia="Times New Roman"/>
                <w:color w:val="000000"/>
              </w:rPr>
              <w:t>7</w:t>
            </w:r>
            <w:r>
              <w:rPr>
                <w:rFonts w:hint="eastAsia"/>
                <w:color w:val="000000"/>
              </w:rPr>
              <w:t>40k</w:t>
            </w:r>
            <w:r>
              <w:rPr>
                <w:rFonts w:hint="eastAsia" w:eastAsia="Times New Roman"/>
                <w:color w:val="000000"/>
              </w:rPr>
              <w:t>g/m</w:t>
            </w:r>
            <w:r>
              <w:rPr>
                <w:rFonts w:hint="eastAsia" w:eastAsia="Times New Roman"/>
                <w:color w:val="000000"/>
                <w:vertAlign w:val="superscript"/>
              </w:rPr>
              <w:t>3</w:t>
            </w:r>
            <w:r>
              <w:rPr>
                <w:rFonts w:hint="eastAsia" w:ascii="宋体" w:hAnsi="宋体"/>
                <w:color w:val="000000"/>
              </w:rPr>
              <w:t>，柴油密度为</w:t>
            </w:r>
            <w:r>
              <w:rPr>
                <w:rFonts w:hint="eastAsia"/>
                <w:color w:val="000000"/>
              </w:rPr>
              <w:t>800</w:t>
            </w:r>
            <w:r>
              <w:rPr>
                <w:rFonts w:hint="eastAsia" w:eastAsia="Times New Roman"/>
                <w:color w:val="000000"/>
              </w:rPr>
              <w:t>~</w:t>
            </w:r>
            <w:r>
              <w:rPr>
                <w:rFonts w:hint="eastAsia"/>
                <w:color w:val="000000"/>
              </w:rPr>
              <w:t>840k</w:t>
            </w:r>
            <w:r>
              <w:rPr>
                <w:rFonts w:hint="eastAsia" w:eastAsia="Times New Roman"/>
                <w:color w:val="000000"/>
              </w:rPr>
              <w:t>g/m</w:t>
            </w:r>
            <w:r>
              <w:rPr>
                <w:rFonts w:hint="eastAsia" w:eastAsia="Times New Roman"/>
                <w:color w:val="000000"/>
                <w:vertAlign w:val="superscript"/>
              </w:rPr>
              <w:t>3</w:t>
            </w:r>
            <w:r>
              <w:rPr>
                <w:rFonts w:hint="eastAsia" w:ascii="宋体" w:hAnsi="宋体"/>
                <w:color w:val="000000"/>
              </w:rPr>
              <w:t>，本次评价取</w:t>
            </w:r>
            <w:r>
              <w:rPr>
                <w:rFonts w:hint="eastAsia" w:eastAsia="Times New Roman"/>
                <w:color w:val="000000"/>
              </w:rPr>
              <w:t>8</w:t>
            </w:r>
            <w:r>
              <w:rPr>
                <w:rFonts w:hint="eastAsia"/>
                <w:color w:val="000000"/>
              </w:rPr>
              <w:t>20k</w:t>
            </w:r>
            <w:r>
              <w:rPr>
                <w:rFonts w:hint="eastAsia" w:eastAsia="Times New Roman"/>
                <w:color w:val="000000"/>
              </w:rPr>
              <w:t>g/m</w:t>
            </w:r>
            <w:r>
              <w:rPr>
                <w:rFonts w:hint="eastAsia" w:eastAsia="Times New Roman"/>
                <w:color w:val="000000"/>
                <w:vertAlign w:val="superscript"/>
              </w:rPr>
              <w:t>3</w:t>
            </w:r>
            <w:r>
              <w:rPr>
                <w:rFonts w:hint="eastAsia" w:ascii="宋体" w:hAnsi="宋体"/>
                <w:color w:val="000000"/>
              </w:rPr>
              <w:t>，则本项目油品年通过量为</w:t>
            </w:r>
            <w:r>
              <w:rPr>
                <w:rFonts w:hint="eastAsia" w:eastAsia="Times New Roman"/>
                <w:color w:val="000000"/>
              </w:rPr>
              <w:t>7140</w:t>
            </w:r>
            <w:r>
              <w:rPr>
                <w:rFonts w:eastAsia="Times New Roman"/>
                <w:color w:val="000000"/>
              </w:rPr>
              <w:t>m</w:t>
            </w:r>
            <w:r>
              <w:rPr>
                <w:rFonts w:eastAsia="Times New Roman"/>
                <w:color w:val="000000"/>
                <w:vertAlign w:val="superscript"/>
              </w:rPr>
              <w:t>3</w:t>
            </w:r>
            <w:r>
              <w:t>，</w:t>
            </w:r>
            <w:r>
              <w:rPr>
                <w:color w:val="000000"/>
              </w:rPr>
              <w:t>采用固定顶卧式地埋储油罐、平衡淹没式装料</w:t>
            </w:r>
            <w:r>
              <w:rPr>
                <w:rFonts w:hint="eastAsia"/>
                <w:color w:val="000000"/>
              </w:rPr>
              <w:t>。</w:t>
            </w:r>
            <w:r>
              <w:rPr>
                <w:rFonts w:hint="eastAsia" w:ascii="宋体" w:hAnsi="宋体"/>
                <w:color w:val="000000"/>
              </w:rPr>
              <w:t>根据上述分析，本项目加油部分非甲烷总烃产生情况见下表。</w:t>
            </w:r>
          </w:p>
          <w:p>
            <w:pPr>
              <w:widowControl w:val="0"/>
              <w:ind w:firstLine="422"/>
              <w:jc w:val="center"/>
              <w:rPr>
                <w:b/>
                <w:bCs/>
                <w:color w:val="000000"/>
                <w:sz w:val="21"/>
                <w:szCs w:val="21"/>
              </w:rPr>
            </w:pPr>
            <w:r>
              <w:rPr>
                <w:b/>
                <w:bCs/>
                <w:color w:val="000000"/>
                <w:sz w:val="21"/>
                <w:szCs w:val="21"/>
              </w:rPr>
              <w:t>表</w:t>
            </w:r>
            <w:r>
              <w:rPr>
                <w:rFonts w:hint="eastAsia"/>
                <w:b/>
                <w:bCs/>
                <w:color w:val="000000"/>
                <w:sz w:val="21"/>
                <w:szCs w:val="21"/>
              </w:rPr>
              <w:t>22</w:t>
            </w:r>
            <w:r>
              <w:rPr>
                <w:b/>
                <w:bCs/>
                <w:color w:val="000000"/>
                <w:sz w:val="21"/>
                <w:szCs w:val="21"/>
              </w:rPr>
              <w:t xml:space="preserve">   </w:t>
            </w:r>
            <w:r>
              <w:rPr>
                <w:rFonts w:hint="eastAsia"/>
                <w:b/>
                <w:bCs/>
                <w:color w:val="000000"/>
                <w:sz w:val="21"/>
                <w:szCs w:val="21"/>
              </w:rPr>
              <w:t>与</w:t>
            </w:r>
            <w:r>
              <w:rPr>
                <w:b/>
                <w:bCs/>
                <w:color w:val="000000"/>
                <w:sz w:val="21"/>
                <w:szCs w:val="21"/>
              </w:rPr>
              <w:t>加油</w:t>
            </w:r>
            <w:r>
              <w:rPr>
                <w:rFonts w:hint="eastAsia"/>
                <w:b/>
                <w:bCs/>
                <w:color w:val="000000"/>
                <w:sz w:val="21"/>
                <w:szCs w:val="21"/>
              </w:rPr>
              <w:t>部分有关的</w:t>
            </w:r>
            <w:r>
              <w:rPr>
                <w:b/>
                <w:bCs/>
                <w:color w:val="000000"/>
                <w:sz w:val="21"/>
                <w:szCs w:val="21"/>
              </w:rPr>
              <w:t>非甲烷总烃</w:t>
            </w:r>
            <w:r>
              <w:rPr>
                <w:rFonts w:hint="eastAsia"/>
                <w:b/>
                <w:bCs/>
                <w:color w:val="000000"/>
                <w:sz w:val="21"/>
                <w:szCs w:val="21"/>
              </w:rPr>
              <w:t>产生情况一览表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089"/>
              <w:gridCol w:w="1884"/>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263" w:type="dxa"/>
                  <w:gridSpan w:val="2"/>
                  <w:vAlign w:val="center"/>
                </w:tcPr>
                <w:p>
                  <w:pPr>
                    <w:widowControl w:val="0"/>
                    <w:adjustRightInd/>
                    <w:snapToGrid/>
                    <w:spacing w:line="240" w:lineRule="auto"/>
                    <w:ind w:firstLine="0" w:firstLineChars="0"/>
                    <w:jc w:val="center"/>
                    <w:rPr>
                      <w:color w:val="000000"/>
                      <w:sz w:val="21"/>
                      <w:szCs w:val="21"/>
                    </w:rPr>
                  </w:pPr>
                  <w:r>
                    <w:rPr>
                      <w:color w:val="000000"/>
                      <w:sz w:val="21"/>
                      <w:szCs w:val="21"/>
                    </w:rPr>
                    <w:t>项目</w:t>
                  </w:r>
                </w:p>
              </w:tc>
              <w:tc>
                <w:tcPr>
                  <w:tcW w:w="1884" w:type="dxa"/>
                  <w:vAlign w:val="center"/>
                </w:tcPr>
                <w:p>
                  <w:pPr>
                    <w:widowControl w:val="0"/>
                    <w:adjustRightInd/>
                    <w:snapToGrid/>
                    <w:spacing w:line="240" w:lineRule="auto"/>
                    <w:ind w:firstLine="0" w:firstLineChars="0"/>
                    <w:jc w:val="center"/>
                    <w:rPr>
                      <w:color w:val="000000"/>
                      <w:sz w:val="21"/>
                      <w:szCs w:val="21"/>
                    </w:rPr>
                  </w:pPr>
                  <w:r>
                    <w:rPr>
                      <w:rFonts w:hint="eastAsia"/>
                      <w:color w:val="000000"/>
                      <w:sz w:val="21"/>
                      <w:szCs w:val="21"/>
                    </w:rPr>
                    <w:t>排放</w:t>
                  </w:r>
                  <w:r>
                    <w:rPr>
                      <w:color w:val="000000"/>
                      <w:sz w:val="21"/>
                      <w:szCs w:val="21"/>
                    </w:rPr>
                    <w:t>系数</w:t>
                  </w:r>
                </w:p>
              </w:tc>
              <w:tc>
                <w:tcPr>
                  <w:tcW w:w="2049" w:type="dxa"/>
                  <w:vAlign w:val="center"/>
                </w:tcPr>
                <w:p>
                  <w:pPr>
                    <w:widowControl w:val="0"/>
                    <w:adjustRightInd/>
                    <w:snapToGrid/>
                    <w:spacing w:line="240" w:lineRule="auto"/>
                    <w:ind w:firstLine="0" w:firstLineChars="0"/>
                    <w:jc w:val="center"/>
                    <w:rPr>
                      <w:color w:val="000000"/>
                      <w:sz w:val="21"/>
                      <w:szCs w:val="21"/>
                    </w:rPr>
                  </w:pPr>
                  <w:r>
                    <w:rPr>
                      <w:color w:val="000000"/>
                      <w:sz w:val="21"/>
                      <w:szCs w:val="21"/>
                    </w:rPr>
                    <w:t>产生量（</w:t>
                  </w:r>
                  <w:r>
                    <w:rPr>
                      <w:rFonts w:hint="eastAsia"/>
                      <w:color w:val="000000"/>
                      <w:sz w:val="21"/>
                      <w:szCs w:val="21"/>
                    </w:rPr>
                    <w:t>t</w:t>
                  </w:r>
                  <w:r>
                    <w:rPr>
                      <w:rFonts w:eastAsia="Times New Roman"/>
                      <w:color w:val="000000"/>
                      <w:sz w:val="21"/>
                      <w:szCs w:val="21"/>
                    </w:rPr>
                    <w:t>/</w:t>
                  </w:r>
                  <w:r>
                    <w:rPr>
                      <w:color w:val="00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174" w:type="dxa"/>
                  <w:vMerge w:val="restart"/>
                  <w:vAlign w:val="center"/>
                </w:tcPr>
                <w:p>
                  <w:pPr>
                    <w:widowControl w:val="0"/>
                    <w:adjustRightInd/>
                    <w:snapToGrid/>
                    <w:spacing w:line="240" w:lineRule="auto"/>
                    <w:ind w:firstLine="0" w:firstLineChars="0"/>
                    <w:jc w:val="center"/>
                    <w:rPr>
                      <w:color w:val="000000"/>
                      <w:sz w:val="21"/>
                      <w:szCs w:val="21"/>
                    </w:rPr>
                  </w:pPr>
                  <w:r>
                    <w:rPr>
                      <w:color w:val="000000"/>
                      <w:sz w:val="21"/>
                      <w:szCs w:val="21"/>
                    </w:rPr>
                    <w:t>储油罐</w:t>
                  </w:r>
                </w:p>
              </w:tc>
              <w:tc>
                <w:tcPr>
                  <w:tcW w:w="3089" w:type="dxa"/>
                  <w:vAlign w:val="center"/>
                </w:tcPr>
                <w:p>
                  <w:pPr>
                    <w:widowControl w:val="0"/>
                    <w:adjustRightInd/>
                    <w:snapToGrid/>
                    <w:spacing w:line="240" w:lineRule="auto"/>
                    <w:ind w:firstLine="0" w:firstLineChars="0"/>
                    <w:jc w:val="center"/>
                    <w:rPr>
                      <w:sz w:val="21"/>
                      <w:szCs w:val="21"/>
                    </w:rPr>
                  </w:pPr>
                  <w:r>
                    <w:rPr>
                      <w:sz w:val="21"/>
                      <w:szCs w:val="21"/>
                    </w:rPr>
                    <w:t>小呼吸损失</w:t>
                  </w:r>
                </w:p>
              </w:tc>
              <w:tc>
                <w:tcPr>
                  <w:tcW w:w="1884" w:type="dxa"/>
                  <w:vAlign w:val="center"/>
                </w:tcPr>
                <w:p>
                  <w:pPr>
                    <w:widowControl w:val="0"/>
                    <w:adjustRightInd/>
                    <w:snapToGrid/>
                    <w:spacing w:line="240" w:lineRule="auto"/>
                    <w:ind w:firstLine="0" w:firstLineChars="0"/>
                    <w:jc w:val="center"/>
                    <w:rPr>
                      <w:sz w:val="21"/>
                      <w:szCs w:val="21"/>
                    </w:rPr>
                  </w:pPr>
                  <w:r>
                    <w:rPr>
                      <w:rFonts w:eastAsia="Times New Roman"/>
                      <w:sz w:val="21"/>
                      <w:szCs w:val="21"/>
                    </w:rPr>
                    <w:t>0.</w:t>
                  </w:r>
                  <w:r>
                    <w:rPr>
                      <w:rFonts w:hint="eastAsia"/>
                      <w:sz w:val="21"/>
                      <w:szCs w:val="21"/>
                    </w:rPr>
                    <w:t>0084</w:t>
                  </w:r>
                  <w:r>
                    <w:rPr>
                      <w:rFonts w:eastAsia="Times New Roman"/>
                      <w:sz w:val="21"/>
                      <w:szCs w:val="21"/>
                    </w:rPr>
                    <w:t>kg/m</w:t>
                  </w:r>
                  <w:r>
                    <w:rPr>
                      <w:rFonts w:eastAsia="Times New Roman"/>
                      <w:sz w:val="21"/>
                      <w:szCs w:val="21"/>
                      <w:vertAlign w:val="superscript"/>
                    </w:rPr>
                    <w:t>3</w:t>
                  </w:r>
                </w:p>
              </w:tc>
              <w:tc>
                <w:tcPr>
                  <w:tcW w:w="2049" w:type="dxa"/>
                  <w:vAlign w:val="center"/>
                </w:tcPr>
                <w:p>
                  <w:pPr>
                    <w:widowControl w:val="0"/>
                    <w:adjustRightInd/>
                    <w:snapToGrid/>
                    <w:spacing w:line="240" w:lineRule="auto"/>
                    <w:ind w:firstLine="0" w:firstLineChars="0"/>
                    <w:jc w:val="center"/>
                    <w:rPr>
                      <w:sz w:val="21"/>
                      <w:szCs w:val="21"/>
                    </w:rPr>
                  </w:pPr>
                  <w:r>
                    <w:rPr>
                      <w:rFonts w:hint="eastAsia"/>
                      <w:color w:val="000000"/>
                      <w:sz w:val="21"/>
                      <w:szCs w:val="21"/>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174" w:type="dxa"/>
                  <w:vMerge w:val="continue"/>
                  <w:vAlign w:val="center"/>
                </w:tcPr>
                <w:p>
                  <w:pPr>
                    <w:widowControl w:val="0"/>
                    <w:adjustRightInd/>
                    <w:snapToGrid/>
                    <w:spacing w:line="240" w:lineRule="auto"/>
                    <w:ind w:firstLine="0" w:firstLineChars="0"/>
                    <w:jc w:val="center"/>
                    <w:rPr>
                      <w:color w:val="000000"/>
                      <w:sz w:val="21"/>
                      <w:szCs w:val="21"/>
                    </w:rPr>
                  </w:pPr>
                </w:p>
              </w:tc>
              <w:tc>
                <w:tcPr>
                  <w:tcW w:w="3089" w:type="dxa"/>
                  <w:vAlign w:val="center"/>
                </w:tcPr>
                <w:p>
                  <w:pPr>
                    <w:widowControl w:val="0"/>
                    <w:adjustRightInd/>
                    <w:snapToGrid/>
                    <w:spacing w:line="240" w:lineRule="auto"/>
                    <w:ind w:firstLine="0" w:firstLineChars="0"/>
                    <w:jc w:val="center"/>
                    <w:rPr>
                      <w:sz w:val="21"/>
                      <w:szCs w:val="21"/>
                    </w:rPr>
                  </w:pPr>
                  <w:r>
                    <w:rPr>
                      <w:rFonts w:hint="eastAsia"/>
                      <w:color w:val="000000"/>
                      <w:sz w:val="21"/>
                      <w:szCs w:val="21"/>
                    </w:rPr>
                    <w:t>平衡淹没式装料损失</w:t>
                  </w:r>
                </w:p>
              </w:tc>
              <w:tc>
                <w:tcPr>
                  <w:tcW w:w="1884" w:type="dxa"/>
                  <w:vAlign w:val="center"/>
                </w:tcPr>
                <w:p>
                  <w:pPr>
                    <w:widowControl w:val="0"/>
                    <w:adjustRightInd/>
                    <w:snapToGrid/>
                    <w:spacing w:line="240" w:lineRule="auto"/>
                    <w:ind w:firstLine="0" w:firstLineChars="0"/>
                    <w:jc w:val="center"/>
                    <w:rPr>
                      <w:sz w:val="21"/>
                      <w:szCs w:val="21"/>
                    </w:rPr>
                  </w:pPr>
                  <w:r>
                    <w:rPr>
                      <w:rFonts w:eastAsia="Times New Roman"/>
                      <w:sz w:val="21"/>
                      <w:szCs w:val="21"/>
                    </w:rPr>
                    <w:t>0.</w:t>
                  </w:r>
                  <w:r>
                    <w:rPr>
                      <w:rFonts w:hint="eastAsia"/>
                      <w:sz w:val="21"/>
                      <w:szCs w:val="21"/>
                    </w:rPr>
                    <w:t>04</w:t>
                  </w:r>
                  <w:r>
                    <w:rPr>
                      <w:rFonts w:eastAsia="Times New Roman"/>
                      <w:sz w:val="21"/>
                      <w:szCs w:val="21"/>
                    </w:rPr>
                    <w:t>kg/m</w:t>
                  </w:r>
                  <w:r>
                    <w:rPr>
                      <w:rFonts w:eastAsia="Times New Roman"/>
                      <w:sz w:val="21"/>
                      <w:szCs w:val="21"/>
                      <w:vertAlign w:val="superscript"/>
                    </w:rPr>
                    <w:t>3</w:t>
                  </w:r>
                </w:p>
              </w:tc>
              <w:tc>
                <w:tcPr>
                  <w:tcW w:w="2049" w:type="dxa"/>
                  <w:vAlign w:val="center"/>
                </w:tcPr>
                <w:p>
                  <w:pPr>
                    <w:widowControl w:val="0"/>
                    <w:adjustRightInd/>
                    <w:snapToGrid/>
                    <w:spacing w:line="240" w:lineRule="auto"/>
                    <w:ind w:firstLine="0" w:firstLineChars="0"/>
                    <w:jc w:val="center"/>
                    <w:rPr>
                      <w:sz w:val="21"/>
                      <w:szCs w:val="21"/>
                    </w:rPr>
                  </w:pPr>
                  <w:r>
                    <w:rPr>
                      <w:rFonts w:hint="eastAsia"/>
                      <w:sz w:val="21"/>
                      <w:szCs w:val="21"/>
                    </w:rPr>
                    <w:t>0.</w:t>
                  </w:r>
                  <w:r>
                    <w:rPr>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174" w:type="dxa"/>
                  <w:vMerge w:val="restart"/>
                  <w:vAlign w:val="center"/>
                </w:tcPr>
                <w:p>
                  <w:pPr>
                    <w:widowControl w:val="0"/>
                    <w:adjustRightInd/>
                    <w:snapToGrid/>
                    <w:spacing w:line="240" w:lineRule="auto"/>
                    <w:ind w:firstLine="0" w:firstLineChars="0"/>
                    <w:jc w:val="center"/>
                    <w:rPr>
                      <w:color w:val="000000"/>
                      <w:sz w:val="21"/>
                      <w:szCs w:val="21"/>
                    </w:rPr>
                  </w:pPr>
                  <w:r>
                    <w:rPr>
                      <w:color w:val="000000"/>
                      <w:sz w:val="21"/>
                      <w:szCs w:val="21"/>
                    </w:rPr>
                    <w:t>加油区</w:t>
                  </w:r>
                </w:p>
              </w:tc>
              <w:tc>
                <w:tcPr>
                  <w:tcW w:w="3089" w:type="dxa"/>
                  <w:vAlign w:val="center"/>
                </w:tcPr>
                <w:p>
                  <w:pPr>
                    <w:widowControl w:val="0"/>
                    <w:adjustRightInd/>
                    <w:snapToGrid/>
                    <w:spacing w:line="240" w:lineRule="auto"/>
                    <w:ind w:firstLine="0" w:firstLineChars="0"/>
                    <w:jc w:val="center"/>
                    <w:rPr>
                      <w:sz w:val="21"/>
                      <w:szCs w:val="21"/>
                    </w:rPr>
                  </w:pPr>
                  <w:r>
                    <w:rPr>
                      <w:sz w:val="21"/>
                      <w:szCs w:val="21"/>
                    </w:rPr>
                    <w:t>加油机作业损失</w:t>
                  </w:r>
                </w:p>
              </w:tc>
              <w:tc>
                <w:tcPr>
                  <w:tcW w:w="1884" w:type="dxa"/>
                  <w:vAlign w:val="center"/>
                </w:tcPr>
                <w:p>
                  <w:pPr>
                    <w:widowControl w:val="0"/>
                    <w:adjustRightInd/>
                    <w:snapToGrid/>
                    <w:spacing w:line="240" w:lineRule="auto"/>
                    <w:ind w:firstLine="0" w:firstLineChars="0"/>
                    <w:jc w:val="center"/>
                    <w:rPr>
                      <w:sz w:val="21"/>
                      <w:szCs w:val="21"/>
                    </w:rPr>
                  </w:pPr>
                  <w:r>
                    <w:rPr>
                      <w:rFonts w:eastAsia="Times New Roman"/>
                      <w:sz w:val="21"/>
                      <w:szCs w:val="21"/>
                    </w:rPr>
                    <w:t>0.</w:t>
                  </w:r>
                  <w:r>
                    <w:rPr>
                      <w:sz w:val="21"/>
                      <w:szCs w:val="21"/>
                    </w:rPr>
                    <w:t>11</w:t>
                  </w:r>
                  <w:r>
                    <w:rPr>
                      <w:rFonts w:eastAsia="Times New Roman"/>
                      <w:sz w:val="21"/>
                      <w:szCs w:val="21"/>
                    </w:rPr>
                    <w:t>kg/m</w:t>
                  </w:r>
                  <w:r>
                    <w:rPr>
                      <w:rFonts w:eastAsia="Times New Roman"/>
                      <w:sz w:val="21"/>
                      <w:szCs w:val="21"/>
                      <w:vertAlign w:val="superscript"/>
                    </w:rPr>
                    <w:t>3</w:t>
                  </w:r>
                </w:p>
              </w:tc>
              <w:tc>
                <w:tcPr>
                  <w:tcW w:w="2049" w:type="dxa"/>
                  <w:vAlign w:val="center"/>
                </w:tcPr>
                <w:p>
                  <w:pPr>
                    <w:widowControl w:val="0"/>
                    <w:adjustRightInd/>
                    <w:snapToGrid/>
                    <w:spacing w:line="240" w:lineRule="auto"/>
                    <w:ind w:firstLine="0" w:firstLineChars="0"/>
                    <w:jc w:val="center"/>
                    <w:rPr>
                      <w:sz w:val="21"/>
                      <w:szCs w:val="21"/>
                    </w:rPr>
                  </w:pPr>
                  <w:r>
                    <w:rPr>
                      <w:rFonts w:hint="eastAsia"/>
                      <w:color w:val="000000"/>
                      <w:sz w:val="21"/>
                      <w:szCs w:val="21"/>
                    </w:rPr>
                    <w:t>0.</w:t>
                  </w:r>
                  <w:r>
                    <w:rPr>
                      <w:color w:val="000000"/>
                      <w:sz w:val="21"/>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174" w:type="dxa"/>
                  <w:vMerge w:val="continue"/>
                  <w:vAlign w:val="center"/>
                </w:tcPr>
                <w:p>
                  <w:pPr>
                    <w:widowControl w:val="0"/>
                    <w:adjustRightInd/>
                    <w:snapToGrid/>
                    <w:spacing w:line="240" w:lineRule="auto"/>
                    <w:ind w:firstLine="0" w:firstLineChars="0"/>
                    <w:jc w:val="center"/>
                    <w:rPr>
                      <w:color w:val="000000"/>
                      <w:sz w:val="21"/>
                      <w:szCs w:val="21"/>
                    </w:rPr>
                  </w:pPr>
                </w:p>
              </w:tc>
              <w:tc>
                <w:tcPr>
                  <w:tcW w:w="3089" w:type="dxa"/>
                  <w:vAlign w:val="center"/>
                </w:tcPr>
                <w:p>
                  <w:pPr>
                    <w:widowControl w:val="0"/>
                    <w:adjustRightInd/>
                    <w:snapToGrid/>
                    <w:spacing w:line="240" w:lineRule="auto"/>
                    <w:ind w:firstLine="0" w:firstLineChars="0"/>
                    <w:jc w:val="center"/>
                    <w:rPr>
                      <w:sz w:val="21"/>
                      <w:szCs w:val="21"/>
                    </w:rPr>
                  </w:pPr>
                  <w:r>
                    <w:rPr>
                      <w:sz w:val="21"/>
                      <w:szCs w:val="21"/>
                    </w:rPr>
                    <w:t>跑冒滴漏损失</w:t>
                  </w:r>
                </w:p>
              </w:tc>
              <w:tc>
                <w:tcPr>
                  <w:tcW w:w="1884" w:type="dxa"/>
                  <w:vAlign w:val="center"/>
                </w:tcPr>
                <w:p>
                  <w:pPr>
                    <w:widowControl w:val="0"/>
                    <w:adjustRightInd/>
                    <w:snapToGrid/>
                    <w:spacing w:line="240" w:lineRule="auto"/>
                    <w:ind w:firstLine="0" w:firstLineChars="0"/>
                    <w:jc w:val="center"/>
                    <w:rPr>
                      <w:sz w:val="21"/>
                      <w:szCs w:val="21"/>
                    </w:rPr>
                  </w:pPr>
                  <w:r>
                    <w:rPr>
                      <w:rFonts w:eastAsia="Times New Roman"/>
                      <w:sz w:val="21"/>
                      <w:szCs w:val="21"/>
                    </w:rPr>
                    <w:t>0.0</w:t>
                  </w:r>
                  <w:r>
                    <w:rPr>
                      <w:sz w:val="21"/>
                      <w:szCs w:val="21"/>
                    </w:rPr>
                    <w:t>8</w:t>
                  </w:r>
                  <w:r>
                    <w:rPr>
                      <w:rFonts w:eastAsia="Times New Roman"/>
                      <w:sz w:val="21"/>
                      <w:szCs w:val="21"/>
                    </w:rPr>
                    <w:t>4kg/m</w:t>
                  </w:r>
                  <w:r>
                    <w:rPr>
                      <w:rFonts w:eastAsia="Times New Roman"/>
                      <w:sz w:val="21"/>
                      <w:szCs w:val="21"/>
                      <w:vertAlign w:val="superscript"/>
                    </w:rPr>
                    <w:t>3</w:t>
                  </w:r>
                </w:p>
              </w:tc>
              <w:tc>
                <w:tcPr>
                  <w:tcW w:w="2049" w:type="dxa"/>
                  <w:vAlign w:val="center"/>
                </w:tcPr>
                <w:p>
                  <w:pPr>
                    <w:widowControl w:val="0"/>
                    <w:adjustRightInd/>
                    <w:snapToGrid/>
                    <w:spacing w:line="240" w:lineRule="auto"/>
                    <w:ind w:firstLine="0" w:firstLineChars="0"/>
                    <w:jc w:val="center"/>
                    <w:rPr>
                      <w:sz w:val="21"/>
                      <w:szCs w:val="21"/>
                    </w:rPr>
                  </w:pPr>
                  <w:r>
                    <w:rPr>
                      <w:rFonts w:hint="eastAsia"/>
                      <w:sz w:val="21"/>
                      <w:szCs w:val="21"/>
                    </w:rPr>
                    <w:t>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174" w:type="dxa"/>
                  <w:vAlign w:val="center"/>
                </w:tcPr>
                <w:p>
                  <w:pPr>
                    <w:widowControl w:val="0"/>
                    <w:adjustRightInd/>
                    <w:snapToGrid/>
                    <w:spacing w:line="240" w:lineRule="auto"/>
                    <w:ind w:firstLine="0" w:firstLineChars="0"/>
                    <w:jc w:val="center"/>
                    <w:rPr>
                      <w:color w:val="000000"/>
                      <w:sz w:val="21"/>
                      <w:szCs w:val="21"/>
                    </w:rPr>
                  </w:pPr>
                  <w:r>
                    <w:rPr>
                      <w:rFonts w:hint="eastAsia"/>
                      <w:color w:val="000000"/>
                      <w:sz w:val="21"/>
                      <w:szCs w:val="21"/>
                    </w:rPr>
                    <w:t>合计</w:t>
                  </w:r>
                </w:p>
              </w:tc>
              <w:tc>
                <w:tcPr>
                  <w:tcW w:w="3089" w:type="dxa"/>
                  <w:vAlign w:val="center"/>
                </w:tcPr>
                <w:p>
                  <w:pPr>
                    <w:widowControl w:val="0"/>
                    <w:adjustRightInd/>
                    <w:snapToGrid/>
                    <w:spacing w:line="240" w:lineRule="auto"/>
                    <w:ind w:firstLine="0" w:firstLineChars="0"/>
                    <w:jc w:val="center"/>
                    <w:rPr>
                      <w:color w:val="000000"/>
                      <w:sz w:val="21"/>
                      <w:szCs w:val="21"/>
                    </w:rPr>
                  </w:pPr>
                </w:p>
              </w:tc>
              <w:tc>
                <w:tcPr>
                  <w:tcW w:w="1884" w:type="dxa"/>
                  <w:vAlign w:val="center"/>
                </w:tcPr>
                <w:p>
                  <w:pPr>
                    <w:widowControl w:val="0"/>
                    <w:adjustRightInd/>
                    <w:snapToGrid/>
                    <w:spacing w:line="240" w:lineRule="auto"/>
                    <w:ind w:firstLine="0" w:firstLineChars="0"/>
                    <w:jc w:val="center"/>
                    <w:rPr>
                      <w:rFonts w:eastAsia="Times New Roman"/>
                      <w:color w:val="FF0000"/>
                      <w:sz w:val="21"/>
                      <w:szCs w:val="21"/>
                    </w:rPr>
                  </w:pPr>
                  <w:r>
                    <w:rPr>
                      <w:rFonts w:hint="eastAsia"/>
                      <w:sz w:val="21"/>
                      <w:szCs w:val="21"/>
                    </w:rPr>
                    <w:t>—</w:t>
                  </w:r>
                </w:p>
              </w:tc>
              <w:tc>
                <w:tcPr>
                  <w:tcW w:w="2049" w:type="dxa"/>
                  <w:vAlign w:val="center"/>
                </w:tcPr>
                <w:p>
                  <w:pPr>
                    <w:widowControl w:val="0"/>
                    <w:adjustRightInd/>
                    <w:snapToGrid/>
                    <w:spacing w:line="240" w:lineRule="auto"/>
                    <w:ind w:firstLine="0" w:firstLineChars="0"/>
                    <w:jc w:val="center"/>
                    <w:rPr>
                      <w:color w:val="FF0000"/>
                      <w:sz w:val="21"/>
                      <w:szCs w:val="21"/>
                    </w:rPr>
                  </w:pPr>
                  <w:r>
                    <w:rPr>
                      <w:rFonts w:hint="eastAsia"/>
                      <w:color w:val="000000"/>
                      <w:sz w:val="21"/>
                      <w:szCs w:val="21"/>
                    </w:rPr>
                    <w:t>1.731</w:t>
                  </w:r>
                </w:p>
              </w:tc>
            </w:tr>
          </w:tbl>
          <w:p>
            <w:pPr>
              <w:widowControl w:val="0"/>
              <w:adjustRightInd/>
              <w:snapToGrid/>
              <w:spacing w:before="120" w:beforeLines="50"/>
              <w:ind w:firstLine="480"/>
              <w:jc w:val="both"/>
            </w:pPr>
            <w:r>
              <w:rPr>
                <w:rFonts w:hint="eastAsia"/>
                <w:color w:val="000000"/>
              </w:rPr>
              <w:t>根据以上分析，加油站作业中</w:t>
            </w:r>
            <w:r>
              <w:t>跑</w:t>
            </w:r>
            <w:r>
              <w:rPr>
                <w:rFonts w:hint="eastAsia"/>
              </w:rPr>
              <w:t>、</w:t>
            </w:r>
            <w:r>
              <w:t>冒</w:t>
            </w:r>
            <w:r>
              <w:rPr>
                <w:rFonts w:hint="eastAsia"/>
              </w:rPr>
              <w:t>、</w:t>
            </w:r>
            <w:r>
              <w:t>滴</w:t>
            </w:r>
            <w:r>
              <w:rPr>
                <w:rFonts w:hint="eastAsia"/>
              </w:rPr>
              <w:t>、</w:t>
            </w:r>
            <w:r>
              <w:t>漏损失</w:t>
            </w:r>
            <w:r>
              <w:rPr>
                <w:rFonts w:hint="eastAsia"/>
              </w:rPr>
              <w:t>无法进行收集处理，全部无组织排放；加油及卸油过程中产生的非甲烷总烃可采用</w:t>
            </w:r>
            <w:r>
              <w:rPr>
                <w:rFonts w:hint="eastAsia" w:ascii="F4" w:hAnsi="F4" w:eastAsia="F4"/>
              </w:rPr>
              <w:t>加油和卸油油气回收系统回收气体，加油过程中产生的油气回收到埋地油罐内，卸油过程中产生的油气转移至油罐车内。因此，加油站无组织非甲烷总烃排放的工序为储油罐呼吸损失、加油作业损失及</w:t>
            </w:r>
            <w:r>
              <w:t>跑</w:t>
            </w:r>
            <w:r>
              <w:rPr>
                <w:rFonts w:hint="eastAsia"/>
              </w:rPr>
              <w:t>、</w:t>
            </w:r>
            <w:r>
              <w:t>冒</w:t>
            </w:r>
            <w:r>
              <w:rPr>
                <w:rFonts w:hint="eastAsia"/>
              </w:rPr>
              <w:t>、</w:t>
            </w:r>
            <w:r>
              <w:t>滴</w:t>
            </w:r>
            <w:r>
              <w:rPr>
                <w:rFonts w:hint="eastAsia"/>
              </w:rPr>
              <w:t>、</w:t>
            </w:r>
            <w:r>
              <w:t>漏损失</w:t>
            </w:r>
            <w:r>
              <w:rPr>
                <w:rFonts w:hint="eastAsia"/>
              </w:rPr>
              <w:t>。</w:t>
            </w:r>
          </w:p>
          <w:p>
            <w:pPr>
              <w:widowControl w:val="0"/>
              <w:adjustRightInd/>
              <w:snapToGrid/>
              <w:ind w:firstLine="480"/>
              <w:jc w:val="both"/>
            </w:pPr>
            <w:r>
              <w:rPr>
                <w:rFonts w:hint="eastAsia"/>
              </w:rPr>
              <w:t>本项目加油部分采用</w:t>
            </w:r>
            <w:r>
              <w:rPr>
                <w:rFonts w:hint="eastAsia" w:ascii="F4" w:hAnsi="F4" w:eastAsia="F4"/>
              </w:rPr>
              <w:t>加油和卸油油气回收系统</w:t>
            </w:r>
            <w:r>
              <w:rPr>
                <w:rFonts w:hint="eastAsia"/>
              </w:rPr>
              <w:t>：</w:t>
            </w:r>
            <w:r>
              <w:rPr>
                <w:rFonts w:hint="eastAsia" w:ascii="F4" w:hAnsi="F4" w:eastAsia="F4"/>
              </w:rPr>
              <w:t>卸油油气回收</w:t>
            </w:r>
            <w:r>
              <w:rPr>
                <w:rFonts w:hint="eastAsia"/>
              </w:rPr>
              <w:t>是油罐车在油站卸油时，将卸油时的油气回收到油罐车里；</w:t>
            </w:r>
            <w:r>
              <w:rPr>
                <w:rFonts w:hint="eastAsia" w:ascii="F4" w:hAnsi="F4" w:eastAsia="F4"/>
              </w:rPr>
              <w:t>加油油气回收</w:t>
            </w:r>
            <w:r>
              <w:rPr>
                <w:rFonts w:hint="eastAsia"/>
              </w:rPr>
              <w:t>是油站给汽车加油时，将加油时的油气通过加油枪密封回收回到加油站的油罐。</w:t>
            </w:r>
          </w:p>
          <w:p>
            <w:pPr>
              <w:pStyle w:val="45"/>
              <w:widowControl/>
              <w:adjustRightInd/>
              <w:snapToGrid/>
              <w:ind w:firstLine="480"/>
              <w:jc w:val="both"/>
              <w:rPr>
                <w:rFonts w:hint="eastAsia" w:eastAsia="宋体"/>
                <w:szCs w:val="24"/>
                <w:lang w:eastAsia="zh-CN"/>
              </w:rPr>
            </w:pPr>
            <w:r>
              <w:rPr>
                <w:rFonts w:hint="eastAsia"/>
                <w:szCs w:val="24"/>
              </w:rPr>
              <w:t>根据现场监测，</w:t>
            </w:r>
            <w:r>
              <w:rPr>
                <w:rFonts w:hint="eastAsia"/>
                <w:szCs w:val="24"/>
                <w:lang w:val="en-US" w:eastAsia="zh-CN"/>
              </w:rPr>
              <w:t>加油油气回收管线液阻检测值小于</w:t>
            </w:r>
            <w:r>
              <w:rPr>
                <w:szCs w:val="24"/>
              </w:rPr>
              <w:t>《加油站大气污染物排放标准》（GB20952-2</w:t>
            </w:r>
            <w:r>
              <w:rPr>
                <w:rFonts w:hint="eastAsia"/>
                <w:szCs w:val="24"/>
                <w:lang w:val="en-US" w:eastAsia="zh-CN"/>
              </w:rPr>
              <w:t>020</w:t>
            </w:r>
            <w:r>
              <w:rPr>
                <w:szCs w:val="24"/>
              </w:rPr>
              <w:t>）</w:t>
            </w:r>
            <w:r>
              <w:rPr>
                <w:rFonts w:hint="eastAsia"/>
                <w:szCs w:val="24"/>
                <w:lang w:val="en-US" w:eastAsia="zh-CN"/>
              </w:rPr>
              <w:t>表1限值；油气回收系统密闭性压力检测值471Pa大于</w:t>
            </w:r>
            <w:r>
              <w:rPr>
                <w:szCs w:val="24"/>
              </w:rPr>
              <w:t>《加油站大气污染物排放标准》（GB20952-2</w:t>
            </w:r>
            <w:r>
              <w:rPr>
                <w:rFonts w:hint="eastAsia"/>
                <w:szCs w:val="24"/>
                <w:lang w:val="en-US" w:eastAsia="zh-CN"/>
              </w:rPr>
              <w:t>020</w:t>
            </w:r>
            <w:r>
              <w:rPr>
                <w:szCs w:val="24"/>
              </w:rPr>
              <w:t>）</w:t>
            </w:r>
            <w:r>
              <w:rPr>
                <w:rFonts w:hint="eastAsia"/>
                <w:szCs w:val="24"/>
                <w:lang w:val="en-US" w:eastAsia="zh-CN"/>
              </w:rPr>
              <w:t>表2中最小剩余压力限值限值446Pa；加油油气回收系统气液比为1.04，满足</w:t>
            </w:r>
            <w:r>
              <w:rPr>
                <w:szCs w:val="24"/>
              </w:rPr>
              <w:t>《加油站大气污染物排放标准》（GB20952-2</w:t>
            </w:r>
            <w:r>
              <w:rPr>
                <w:rFonts w:hint="eastAsia"/>
                <w:szCs w:val="24"/>
                <w:lang w:val="en-US" w:eastAsia="zh-CN"/>
              </w:rPr>
              <w:t>020</w:t>
            </w:r>
            <w:r>
              <w:rPr>
                <w:szCs w:val="24"/>
              </w:rPr>
              <w:t>）中</w:t>
            </w:r>
            <w:r>
              <w:rPr>
                <w:rFonts w:hint="eastAsia"/>
                <w:szCs w:val="24"/>
                <w:lang w:val="en-US" w:eastAsia="zh-CN"/>
              </w:rPr>
              <w:t>应大于1.0和小于等于1.2的要求</w:t>
            </w:r>
            <w:r>
              <w:rPr>
                <w:rFonts w:hint="eastAsia"/>
                <w:szCs w:val="24"/>
                <w:lang w:eastAsia="zh-CN"/>
              </w:rPr>
              <w:t>。</w:t>
            </w:r>
          </w:p>
          <w:p>
            <w:pPr>
              <w:pStyle w:val="21"/>
              <w:widowControl w:val="0"/>
              <w:adjustRightInd/>
              <w:snapToGrid/>
              <w:spacing w:line="360" w:lineRule="auto"/>
              <w:ind w:left="0" w:leftChars="0" w:firstLine="241" w:firstLineChars="100"/>
              <w:jc w:val="both"/>
              <w:rPr>
                <w:b/>
                <w:bCs/>
              </w:rPr>
            </w:pPr>
            <w:r>
              <w:rPr>
                <w:rFonts w:hint="eastAsia"/>
                <w:b/>
                <w:bCs/>
              </w:rPr>
              <w:t>本项目加油污染防治措施</w:t>
            </w:r>
          </w:p>
          <w:p>
            <w:pPr>
              <w:widowControl/>
              <w:ind w:firstLine="480"/>
              <w:jc w:val="both"/>
            </w:pPr>
            <w:r>
              <w:t>为控制加油站油气排放限值，原国家环保总局于2007年颁布实施了《加油站大气污染物排放标准》（GB20952-2007）。根据该标准规定，在各地设置的相应城市区域内，加油站的卸油、储油及加油油气排放控制均必须满足该标准要求。</w:t>
            </w:r>
          </w:p>
          <w:p>
            <w:pPr>
              <w:widowControl/>
              <w:ind w:firstLine="480"/>
              <w:jc w:val="both"/>
            </w:pPr>
            <w:r>
              <w:rPr>
                <w:rFonts w:hint="eastAsia" w:ascii="宋体" w:hAnsi="宋体" w:cs="宋体"/>
              </w:rPr>
              <w:t>①</w:t>
            </w:r>
            <w:r>
              <w:t>结合项目方案设计和施工图设计中工艺流程图，本项目对汽油油气采取了一次油气回收系统和二次油气回收系统和油气排放处理装置（即三次油气回收系统）。</w:t>
            </w:r>
          </w:p>
          <w:p>
            <w:pPr>
              <w:widowControl/>
              <w:ind w:firstLine="480"/>
              <w:jc w:val="both"/>
            </w:pPr>
            <w:r>
              <w:rPr>
                <w:rFonts w:hint="eastAsia" w:ascii="宋体" w:hAnsi="宋体" w:cs="宋体"/>
              </w:rPr>
              <w:t>A、</w:t>
            </w:r>
            <w:r>
              <w:t>一次油气回收系统：汽油卸油时罐车自带有卸油油气回收密闭系统(即一次油气回收系统)，卸油油气回收系统回收效率95%，其原理为：卸油时采用密封式卸油，卸油过程中，储油车内压力减少，地下储罐内压力增加，地下储罐与油罐车内的压力差，使卸油过程中挥发的油气通过导管输送到油罐车内，完成油气循环的卸油过程，回收的油气运回储油库进行处理。一次油气回收示意图见图</w:t>
            </w:r>
            <w:r>
              <w:rPr>
                <w:rFonts w:hint="eastAsia"/>
              </w:rPr>
              <w:t>7-1</w:t>
            </w:r>
            <w:r>
              <w:t>。</w:t>
            </w:r>
          </w:p>
          <w:p>
            <w:pPr>
              <w:widowControl/>
              <w:ind w:firstLine="480"/>
              <w:jc w:val="center"/>
            </w:pPr>
            <w:r>
              <w:drawing>
                <wp:inline distT="0" distB="0" distL="0" distR="0">
                  <wp:extent cx="4368800" cy="21653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rcRect l="1695" t="2411" b="1898"/>
                          <a:stretch>
                            <a:fillRect/>
                          </a:stretch>
                        </pic:blipFill>
                        <pic:spPr>
                          <a:xfrm>
                            <a:off x="0" y="0"/>
                            <a:ext cx="4368800" cy="2165350"/>
                          </a:xfrm>
                          <a:prstGeom prst="rect">
                            <a:avLst/>
                          </a:prstGeom>
                          <a:noFill/>
                          <a:ln>
                            <a:noFill/>
                          </a:ln>
                        </pic:spPr>
                      </pic:pic>
                    </a:graphicData>
                  </a:graphic>
                </wp:inline>
              </w:drawing>
            </w:r>
          </w:p>
          <w:p>
            <w:pPr>
              <w:widowControl/>
              <w:ind w:firstLine="482"/>
              <w:jc w:val="center"/>
              <w:rPr>
                <w:b/>
                <w:bCs/>
              </w:rPr>
            </w:pPr>
            <w:r>
              <w:rPr>
                <w:b/>
                <w:bCs/>
              </w:rPr>
              <w:t>图</w:t>
            </w:r>
            <w:r>
              <w:rPr>
                <w:rFonts w:hint="eastAsia"/>
                <w:b/>
                <w:bCs/>
              </w:rPr>
              <w:t>7-1</w:t>
            </w:r>
            <w:r>
              <w:rPr>
                <w:b/>
                <w:bCs/>
              </w:rPr>
              <w:t xml:space="preserve"> 一次油气回收系统示意图</w:t>
            </w:r>
          </w:p>
          <w:p>
            <w:pPr>
              <w:widowControl/>
              <w:ind w:firstLine="480"/>
              <w:jc w:val="both"/>
            </w:pPr>
            <w:r>
              <w:rPr>
                <w:rFonts w:hint="eastAsia" w:ascii="宋体" w:hAnsi="宋体" w:cs="宋体"/>
                <w:bCs/>
              </w:rPr>
              <w:t>B、</w:t>
            </w:r>
            <w:r>
              <w:rPr>
                <w:bCs/>
              </w:rPr>
              <w:t>二次油气回收系统：项目汽油加油机设置分散式回收系统（即二次回收系统）,油气回收系统回收效率90%，其原理为：通过真空泵使加油机产生一定真空度，将加油过程总产生的油气通过油气回收油枪及管线等设备抽回汽油储罐内，由于加油机抽取一定真空度，因此二次油气回收系统按卸出1L汽油，回收1.2L油气的比例进行油气回收，由回收枪再通过和同轴皮管、油气回收管等油气回收设备将原本由汽车油箱逸散于大气中的油气进行回收，二次油气回收示意图见图</w:t>
            </w:r>
            <w:r>
              <w:rPr>
                <w:rFonts w:hint="eastAsia"/>
                <w:bCs/>
              </w:rPr>
              <w:t>7-2</w:t>
            </w:r>
            <w:r>
              <w:rPr>
                <w:bCs/>
              </w:rPr>
              <w:t>。</w:t>
            </w:r>
          </w:p>
          <w:p>
            <w:pPr>
              <w:widowControl/>
              <w:ind w:firstLine="480"/>
              <w:jc w:val="center"/>
              <w:rPr>
                <w:b/>
                <w:szCs w:val="20"/>
              </w:rPr>
            </w:pPr>
            <w:r>
              <w:drawing>
                <wp:inline distT="0" distB="0" distL="0" distR="0">
                  <wp:extent cx="4578350" cy="2444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rcRect l="8763" t="2681" b="3487"/>
                          <a:stretch>
                            <a:fillRect/>
                          </a:stretch>
                        </pic:blipFill>
                        <pic:spPr>
                          <a:xfrm>
                            <a:off x="0" y="0"/>
                            <a:ext cx="4578350" cy="2444750"/>
                          </a:xfrm>
                          <a:prstGeom prst="rect">
                            <a:avLst/>
                          </a:prstGeom>
                          <a:noFill/>
                          <a:ln>
                            <a:noFill/>
                          </a:ln>
                        </pic:spPr>
                      </pic:pic>
                    </a:graphicData>
                  </a:graphic>
                </wp:inline>
              </w:drawing>
            </w:r>
          </w:p>
          <w:p>
            <w:pPr>
              <w:widowControl/>
              <w:ind w:firstLine="482"/>
              <w:jc w:val="center"/>
              <w:rPr>
                <w:b/>
                <w:bCs/>
              </w:rPr>
            </w:pPr>
            <w:r>
              <w:rPr>
                <w:b/>
                <w:bCs/>
              </w:rPr>
              <w:t>图</w:t>
            </w:r>
            <w:r>
              <w:rPr>
                <w:rFonts w:hint="eastAsia"/>
                <w:b/>
                <w:bCs/>
              </w:rPr>
              <w:t>7-2</w:t>
            </w:r>
            <w:r>
              <w:rPr>
                <w:b/>
                <w:bCs/>
              </w:rPr>
              <w:t xml:space="preserve">  二次油气回收系统示意图</w:t>
            </w:r>
          </w:p>
          <w:p>
            <w:pPr>
              <w:widowControl/>
              <w:ind w:firstLine="480"/>
              <w:jc w:val="both"/>
            </w:pPr>
            <w:r>
              <w:rPr>
                <w:rFonts w:hint="eastAsia"/>
              </w:rPr>
              <w:t>C、</w:t>
            </w:r>
            <w:r>
              <w:t>油气排放处理装置（即三次油气回收系统）</w:t>
            </w:r>
          </w:p>
          <w:p>
            <w:pPr>
              <w:widowControl/>
              <w:ind w:firstLine="480"/>
              <w:jc w:val="both"/>
              <w:rPr>
                <w:bCs/>
              </w:rPr>
            </w:pPr>
            <w:r>
              <w:rPr>
                <w:rFonts w:hint="eastAsia"/>
              </w:rPr>
              <w:t>汽油油罐内压力在昼夜温差的作用下会呈现周期性变化，为调节罐内压力，油罐均设有呼吸管，油罐的呼吸作用会造成油气排放。</w:t>
            </w:r>
            <w:r>
              <w:t>油气排放处理装置（即三次油气回收系统）可以通过冷凝回流作用回收罐体</w:t>
            </w:r>
            <w:r>
              <w:rPr>
                <w:rFonts w:hint="eastAsia"/>
              </w:rPr>
              <w:t>呼吸排放的油气。</w:t>
            </w:r>
            <w:r>
              <w:t>油气排放处理装置</w:t>
            </w:r>
            <w:r>
              <w:rPr>
                <w:bCs/>
              </w:rPr>
              <w:t>示意图见图</w:t>
            </w:r>
            <w:r>
              <w:rPr>
                <w:rFonts w:hint="eastAsia"/>
                <w:bCs/>
              </w:rPr>
              <w:t>7-3。</w:t>
            </w:r>
          </w:p>
          <w:p>
            <w:pPr>
              <w:widowControl/>
              <w:ind w:firstLine="480"/>
              <w:jc w:val="center"/>
              <w:rPr>
                <w:szCs w:val="20"/>
              </w:rPr>
            </w:pPr>
            <w:r>
              <w:rPr>
                <w:szCs w:val="20"/>
              </w:rPr>
              <mc:AlternateContent>
                <mc:Choice Requires="wps">
                  <w:drawing>
                    <wp:anchor distT="0" distB="0" distL="114300" distR="114300" simplePos="0" relativeHeight="257218560" behindDoc="0" locked="0" layoutInCell="1" allowOverlap="1">
                      <wp:simplePos x="0" y="0"/>
                      <wp:positionH relativeFrom="column">
                        <wp:posOffset>2743200</wp:posOffset>
                      </wp:positionH>
                      <wp:positionV relativeFrom="paragraph">
                        <wp:posOffset>211455</wp:posOffset>
                      </wp:positionV>
                      <wp:extent cx="1423035" cy="38163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423035" cy="381635"/>
                              </a:xfrm>
                              <a:prstGeom prst="rect">
                                <a:avLst/>
                              </a:prstGeom>
                              <a:noFill/>
                              <a:ln w="3175">
                                <a:noFill/>
                              </a:ln>
                            </wps:spPr>
                            <wps:txbx>
                              <w:txbxContent>
                                <w:p>
                                  <w:pPr>
                                    <w:ind w:firstLine="482"/>
                                    <w:jc w:val="center"/>
                                    <w:rPr>
                                      <w:b/>
                                      <w:color w:val="FF0000"/>
                                    </w:rPr>
                                  </w:pPr>
                                  <w:r>
                                    <w:rPr>
                                      <w:b/>
                                      <w:color w:val="FF0000"/>
                                    </w:rPr>
                                    <w:t>三次油气回收系统</w:t>
                                  </w:r>
                                </w:p>
                              </w:txbxContent>
                            </wps:txbx>
                            <wps:bodyPr lIns="54000" tIns="45720" rIns="54000" bIns="45720" upright="1"/>
                          </wps:wsp>
                        </a:graphicData>
                      </a:graphic>
                    </wp:anchor>
                  </w:drawing>
                </mc:Choice>
                <mc:Fallback>
                  <w:pict>
                    <v:shape id="_x0000_s1026" o:spid="_x0000_s1026" o:spt="202" type="#_x0000_t202" style="position:absolute;left:0pt;margin-left:216pt;margin-top:16.65pt;height:30.05pt;width:112.05pt;z-index:257218560;mso-width-relative:page;mso-height-relative:page;" filled="f" stroked="f" coordsize="21600,21600" o:gfxdata="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9mDMVdgAAAAJAQAADwAAAAAAAAABACAAAAAiAAAAZHJz&#10;L2Rvd25yZXYueG1sUEsBAhQAFAAAAAgAh07iQJkDT+PLAQAAjwMAAA4AAAAAAAAAAQAgAAAAJwEA&#10;AGRycy9lMm9Eb2MueG1sUEsFBgAAAAAGAAYAWQEAAGQFAAAAAA==&#10;">
                      <v:fill on="f" focussize="0,0"/>
                      <v:stroke on="f" weight="0.25pt"/>
                      <v:imagedata o:title=""/>
                      <o:lock v:ext="edit" aspectratio="f"/>
                      <v:textbox inset="1.5mm,1.27mm,1.5mm,1.27mm">
                        <w:txbxContent>
                          <w:p>
                            <w:pPr>
                              <w:ind w:firstLine="482"/>
                              <w:jc w:val="center"/>
                              <w:rPr>
                                <w:b/>
                                <w:color w:val="FF0000"/>
                              </w:rPr>
                            </w:pPr>
                            <w:r>
                              <w:rPr>
                                <w:b/>
                                <w:color w:val="FF0000"/>
                              </w:rPr>
                              <w:t>三次油气回收系统</w:t>
                            </w:r>
                          </w:p>
                        </w:txbxContent>
                      </v:textbox>
                    </v:shape>
                  </w:pict>
                </mc:Fallback>
              </mc:AlternateContent>
            </w:r>
            <w:r>
              <w:rPr>
                <w:rFonts w:hint="eastAsia"/>
                <w:szCs w:val="20"/>
              </w:rPr>
              <w:drawing>
                <wp:inline distT="0" distB="0" distL="0" distR="0">
                  <wp:extent cx="4730750" cy="2914650"/>
                  <wp:effectExtent l="0" t="0" r="6350" b="6350"/>
                  <wp:docPr id="20" name="图片 20" descr="wKhQpFZFdpGEPyzeAAAAADeVuRA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KhQpFZFdpGEPyzeAAAAADeVuRA542"/>
                          <pic:cNvPicPr>
                            <a:picLocks noChangeAspect="1" noChangeArrowheads="1"/>
                          </pic:cNvPicPr>
                        </pic:nvPicPr>
                        <pic:blipFill>
                          <a:blip r:embed="rId21">
                            <a:extLst>
                              <a:ext uri="{28A0092B-C50C-407E-A947-70E740481C1C}">
                                <a14:useLocalDpi xmlns:a14="http://schemas.microsoft.com/office/drawing/2010/main" val="0"/>
                              </a:ext>
                            </a:extLst>
                          </a:blip>
                          <a:srcRect l="18166" b="12576"/>
                          <a:stretch>
                            <a:fillRect/>
                          </a:stretch>
                        </pic:blipFill>
                        <pic:spPr>
                          <a:xfrm>
                            <a:off x="0" y="0"/>
                            <a:ext cx="4730750" cy="2914650"/>
                          </a:xfrm>
                          <a:prstGeom prst="rect">
                            <a:avLst/>
                          </a:prstGeom>
                          <a:noFill/>
                          <a:ln>
                            <a:noFill/>
                          </a:ln>
                        </pic:spPr>
                      </pic:pic>
                    </a:graphicData>
                  </a:graphic>
                </wp:inline>
              </w:drawing>
            </w:r>
          </w:p>
          <w:p>
            <w:pPr>
              <w:widowControl/>
              <w:ind w:firstLine="482"/>
              <w:jc w:val="center"/>
              <w:rPr>
                <w:szCs w:val="20"/>
              </w:rPr>
            </w:pPr>
            <w:r>
              <w:rPr>
                <w:b/>
                <w:bCs/>
              </w:rPr>
              <w:t>图</w:t>
            </w:r>
            <w:r>
              <w:rPr>
                <w:rFonts w:hint="eastAsia"/>
                <w:b/>
                <w:bCs/>
              </w:rPr>
              <w:t>7-3  油</w:t>
            </w:r>
            <w:r>
              <w:rPr>
                <w:b/>
                <w:bCs/>
              </w:rPr>
              <w:t>气排放处理装置（即三次油气回收系统）示意图</w:t>
            </w:r>
          </w:p>
          <w:p>
            <w:pPr>
              <w:widowControl/>
              <w:ind w:firstLine="480"/>
              <w:jc w:val="both"/>
            </w:pPr>
            <w:r>
              <w:rPr>
                <w:rFonts w:hint="eastAsia" w:ascii="宋体" w:hAnsi="宋体" w:cs="宋体"/>
              </w:rPr>
              <w:t>②</w:t>
            </w:r>
            <w:r>
              <w:t>采用浸没式卸油方式，卸油管出油口距罐底高度应小于200mm。</w:t>
            </w:r>
          </w:p>
          <w:p>
            <w:pPr>
              <w:widowControl/>
              <w:ind w:firstLine="480"/>
              <w:jc w:val="both"/>
            </w:pPr>
            <w:r>
              <w:rPr>
                <w:rFonts w:hint="eastAsia" w:ascii="宋体" w:hAnsi="宋体" w:cs="宋体"/>
              </w:rPr>
              <w:t>③</w:t>
            </w:r>
            <w:r>
              <w:t>埋地式储油罐灌顶覆土大于0.5m，汽油和柴油油罐均设置通气立管，通气立管管口距地面不低于4.0m，且汽油通气立管设置防火性呼吸阀；所有影响储油油气密闭性的部件，包括油气管线和所链接的法兰、阀门、快接头以及其他相关部件都应保证在小于750Pa时不漏气；埋地油罐采用电子式液位进行汽油密闭测量，同时采用复合相关规定的溢油控制措施。</w:t>
            </w:r>
          </w:p>
          <w:p>
            <w:pPr>
              <w:widowControl/>
              <w:ind w:firstLine="480"/>
              <w:jc w:val="both"/>
            </w:pPr>
            <w:r>
              <w:rPr>
                <w:rFonts w:hint="eastAsia" w:ascii="宋体" w:hAnsi="宋体" w:cs="宋体"/>
              </w:rPr>
              <w:t>④</w:t>
            </w:r>
            <w:r>
              <w:t>严格按照规程操作和管理油气回收设施，定期检查、维护并记录备查。</w:t>
            </w:r>
          </w:p>
          <w:p>
            <w:pPr>
              <w:widowControl/>
              <w:ind w:firstLine="480"/>
              <w:jc w:val="both"/>
            </w:pPr>
            <w:r>
              <w:rPr>
                <w:rFonts w:hint="eastAsia" w:ascii="宋体" w:hAnsi="宋体" w:cs="宋体"/>
              </w:rPr>
              <w:t>⑤</w:t>
            </w:r>
            <w:r>
              <w:t>加油软管应配备拉断截止阀，加油时应防止溢油和滴油。</w:t>
            </w:r>
          </w:p>
          <w:p>
            <w:pPr>
              <w:widowControl w:val="0"/>
              <w:ind w:firstLine="480"/>
              <w:jc w:val="both"/>
            </w:pPr>
            <w:r>
              <w:t>经对比分析，项目采取的污染防治措施满足《加油站大气污染物排放标准》（GB20952-2007）加油站的卸油、储油及加油油气排放控制要求。</w:t>
            </w:r>
            <w:r>
              <w:rPr>
                <w:rFonts w:hint="eastAsia"/>
              </w:rPr>
              <w:t xml:space="preserve"> </w:t>
            </w:r>
          </w:p>
          <w:p>
            <w:pPr>
              <w:widowControl w:val="0"/>
              <w:ind w:firstLine="480"/>
              <w:jc w:val="both"/>
            </w:pPr>
            <w:r>
              <w:rPr>
                <w:rFonts w:hint="eastAsia"/>
              </w:rPr>
              <w:t>由上可知，本项目拟设置有密闭油气回收系统对加油站卸油、储油和加油时挥发的有机废气进行回收。每次油气回收气液比均可以达到一比一的交换，即为平衡式回收。通过油气回收，加油站的油气回收率可达到90%以上，大大减少了油气的排放。非甲烷总烃(TVOC)、机动车尾气的污染防治措施经济可行，能够做到稳定的达标排放，对周围环境影响较小。</w:t>
            </w:r>
          </w:p>
          <w:p>
            <w:pPr>
              <w:pStyle w:val="34"/>
              <w:widowControl w:val="0"/>
              <w:numPr>
                <w:ilvl w:val="1"/>
                <w:numId w:val="7"/>
              </w:numPr>
              <w:adjustRightInd/>
              <w:snapToGrid/>
              <w:ind w:firstLineChars="0"/>
              <w:jc w:val="both"/>
              <w:rPr>
                <w:b/>
                <w:bCs/>
                <w:color w:val="000000"/>
              </w:rPr>
            </w:pPr>
            <w:r>
              <w:rPr>
                <w:rFonts w:hint="eastAsia"/>
                <w:b/>
                <w:bCs/>
                <w:color w:val="000000"/>
              </w:rPr>
              <w:t>加气作业</w:t>
            </w:r>
          </w:p>
          <w:p>
            <w:pPr>
              <w:widowControl w:val="0"/>
              <w:tabs>
                <w:tab w:val="left" w:pos="9024"/>
              </w:tabs>
              <w:adjustRightInd/>
              <w:snapToGrid/>
              <w:ind w:firstLine="480"/>
              <w:jc w:val="both"/>
            </w:pPr>
            <w:r>
              <w:rPr>
                <w:rFonts w:hint="eastAsia"/>
              </w:rPr>
              <w:t>加气过程中废气主要为设备检修及加气枪放空过程中产生的少量天然气泄漏，属于无组织排放。</w:t>
            </w:r>
          </w:p>
          <w:p>
            <w:pPr>
              <w:widowControl w:val="0"/>
              <w:tabs>
                <w:tab w:val="left" w:pos="9024"/>
              </w:tabs>
              <w:adjustRightInd/>
              <w:snapToGrid/>
              <w:ind w:firstLine="480"/>
              <w:jc w:val="both"/>
            </w:pPr>
            <w:r>
              <w:rPr>
                <w:rFonts w:hint="eastAsia"/>
              </w:rPr>
              <w:t>运行期间设备检修及加气枪放空过程，少量天然气通过放散塔放散系统排放。设备一般每年进行一次定期检修，检修产生的少量天然气通过工艺站场外的放空系统直接排放。系统超压时将排放一定量的天然气。根据有关资料和类比调查，在加强日常维护与管理的情况下，其泄漏量仅为加气量的十万分之一，站内天然气无组织泄漏量约70m</w:t>
            </w:r>
            <w:r>
              <w:rPr>
                <w:rFonts w:hint="eastAsia"/>
                <w:vertAlign w:val="superscript"/>
              </w:rPr>
              <w:t>3</w:t>
            </w:r>
            <w:r>
              <w:rPr>
                <w:rFonts w:hint="eastAsia"/>
              </w:rPr>
              <w:t>/a，其中非甲烷总烃为8kg/a。</w:t>
            </w:r>
          </w:p>
          <w:p>
            <w:pPr>
              <w:pStyle w:val="45"/>
              <w:widowControl/>
              <w:adjustRightInd/>
              <w:snapToGrid/>
              <w:ind w:firstLine="480"/>
              <w:jc w:val="left"/>
            </w:pPr>
            <w:r>
              <w:rPr>
                <w:rFonts w:hint="eastAsia"/>
              </w:rPr>
              <w:t>非甲烷总烃</w:t>
            </w:r>
            <w:r>
              <w:rPr>
                <w:rFonts w:hint="eastAsia"/>
                <w:szCs w:val="24"/>
              </w:rPr>
              <w:t>排放按照《环境影响评价技术导则》(HJ/T2.2-2008) 中推荐的估算模式进行预测和分析，非甲烷总烃取2.0mg/m</w:t>
            </w:r>
            <w:r>
              <w:rPr>
                <w:rFonts w:hint="eastAsia"/>
                <w:szCs w:val="24"/>
                <w:vertAlign w:val="superscript"/>
              </w:rPr>
              <w:t>3</w:t>
            </w:r>
            <w:r>
              <w:rPr>
                <w:rFonts w:hint="eastAsia"/>
                <w:szCs w:val="24"/>
              </w:rPr>
              <w:t>作为小时标准，无组织排放非甲烷总烃最大落地浓度出现在下风向189m处，浓度为0.054mg/m</w:t>
            </w:r>
            <w:r>
              <w:rPr>
                <w:rFonts w:hint="eastAsia"/>
                <w:szCs w:val="24"/>
                <w:vertAlign w:val="superscript"/>
              </w:rPr>
              <w:t>3</w:t>
            </w:r>
            <w:r>
              <w:rPr>
                <w:rFonts w:hint="eastAsia"/>
                <w:szCs w:val="24"/>
              </w:rPr>
              <w:t>，无组织排放非甲烷总烃最大占标率约为2.68</w:t>
            </w:r>
            <w:r>
              <w:rPr>
                <w:szCs w:val="24"/>
              </w:rPr>
              <w:t>%，污染物占标率</w:t>
            </w:r>
            <w:r>
              <w:rPr>
                <w:rFonts w:hint="eastAsia"/>
                <w:szCs w:val="24"/>
              </w:rPr>
              <w:t>小于</w:t>
            </w:r>
            <w:r>
              <w:rPr>
                <w:szCs w:val="24"/>
              </w:rPr>
              <w:t>10%。厂界无组织排放浓度小于</w:t>
            </w:r>
            <w:r>
              <w:t>《大气污染物综合排放标准》（GB16297-1996）中的</w:t>
            </w:r>
            <w:r>
              <w:rPr>
                <w:bCs/>
              </w:rPr>
              <w:t>无组织排放监</w:t>
            </w:r>
            <w:r>
              <w:t>控</w:t>
            </w:r>
            <w:r>
              <w:rPr>
                <w:bCs/>
              </w:rPr>
              <w:t>浓度限值</w:t>
            </w:r>
            <w:r>
              <w:t>周界外浓度最高点（4.0</w:t>
            </w:r>
            <w:r>
              <w:rPr>
                <w:rFonts w:hint="eastAsia"/>
                <w:szCs w:val="24"/>
              </w:rPr>
              <w:t>mg/m</w:t>
            </w:r>
            <w:r>
              <w:rPr>
                <w:rFonts w:hint="eastAsia"/>
                <w:szCs w:val="24"/>
                <w:vertAlign w:val="superscript"/>
              </w:rPr>
              <w:t>3</w:t>
            </w:r>
            <w:r>
              <w:t>）</w:t>
            </w:r>
            <w:r>
              <w:rPr>
                <w:rFonts w:hint="eastAsia"/>
              </w:rPr>
              <w:t>。</w:t>
            </w:r>
          </w:p>
          <w:p>
            <w:pPr>
              <w:pStyle w:val="34"/>
              <w:widowControl w:val="0"/>
              <w:numPr>
                <w:ilvl w:val="1"/>
                <w:numId w:val="7"/>
              </w:numPr>
              <w:ind w:firstLineChars="0"/>
              <w:jc w:val="both"/>
              <w:rPr>
                <w:color w:val="000000"/>
              </w:rPr>
            </w:pPr>
            <w:r>
              <w:rPr>
                <w:color w:val="000000"/>
              </w:rPr>
              <w:t>进出车辆废气</w:t>
            </w:r>
          </w:p>
          <w:p>
            <w:pPr>
              <w:widowControl w:val="0"/>
              <w:ind w:firstLine="480"/>
              <w:jc w:val="left"/>
              <w:rPr>
                <w:color w:val="000000"/>
              </w:rPr>
            </w:pPr>
            <w:r>
              <w:rPr>
                <w:color w:val="000000"/>
              </w:rPr>
              <w:t>进出</w:t>
            </w:r>
            <w:r>
              <w:rPr>
                <w:rFonts w:hint="eastAsia"/>
                <w:color w:val="000000"/>
              </w:rPr>
              <w:t>本</w:t>
            </w:r>
            <w:r>
              <w:rPr>
                <w:color w:val="000000"/>
              </w:rPr>
              <w:t>站的车辆基本处于怠速状态，加油加气过程中停车熄火，且有部分车辆使用天然气为燃料，并且本项目加油加气岛四周完全敞开，风扩散能力强，因此进出站内车辆汽车尾气对环境影响很小。</w:t>
            </w:r>
          </w:p>
          <w:p>
            <w:pPr>
              <w:widowControl w:val="0"/>
              <w:ind w:firstLine="480"/>
              <w:jc w:val="left"/>
              <w:rPr>
                <w:color w:val="000000"/>
              </w:rPr>
            </w:pPr>
            <w:r>
              <w:rPr>
                <w:color w:val="000000"/>
              </w:rPr>
              <w:t>通过采取以上措施后，本项目废气排放对周边环境影响较小。</w:t>
            </w:r>
          </w:p>
          <w:p>
            <w:pPr>
              <w:widowControl w:val="0"/>
              <w:ind w:firstLine="0" w:firstLineChars="0"/>
              <w:jc w:val="both"/>
              <w:rPr>
                <w:b/>
                <w:bCs/>
              </w:rPr>
            </w:pPr>
            <w:r>
              <w:rPr>
                <w:rFonts w:hint="eastAsia"/>
                <w:b/>
                <w:bCs/>
              </w:rPr>
              <w:t>3、</w:t>
            </w:r>
            <w:r>
              <w:rPr>
                <w:b/>
                <w:bCs/>
              </w:rPr>
              <w:t>噪声</w:t>
            </w:r>
          </w:p>
          <w:p>
            <w:pPr>
              <w:widowControl w:val="0"/>
              <w:ind w:firstLine="480"/>
              <w:jc w:val="both"/>
              <w:outlineLvl w:val="0"/>
              <w:rPr>
                <w:rFonts w:ascii="宋体" w:hAnsi="宋体"/>
                <w:b/>
              </w:rPr>
            </w:pPr>
            <w:r>
              <w:rPr>
                <w:rFonts w:hint="eastAsia" w:asciiTheme="minorEastAsia" w:hAnsiTheme="minorEastAsia" w:eastAsiaTheme="minorEastAsia" w:cstheme="minorEastAsia"/>
              </w:rPr>
              <w:t>安徽灵通清洁能源股份有限公司灵通横港物流园L-CNC油气合建站</w:t>
            </w:r>
            <w:r>
              <w:rPr>
                <w:rFonts w:hint="eastAsia" w:ascii="宋体" w:hAnsi="宋体"/>
              </w:rPr>
              <w:t>项目主要噪声</w:t>
            </w:r>
            <w:r>
              <w:t>为</w:t>
            </w:r>
            <w:r>
              <w:rPr>
                <w:rFonts w:hint="eastAsia" w:ascii="宋体" w:cs="宋体"/>
              </w:rPr>
              <w:t>输油泵、加油机、加气机、</w:t>
            </w:r>
            <w:r>
              <w:t>柱塞泵、潜油泵、高压汽化器等设备运行时产生的设备噪声，进出车辆噪声。声级值为</w:t>
            </w:r>
            <w:r>
              <w:rPr>
                <w:rFonts w:hint="eastAsia"/>
              </w:rPr>
              <w:t>70</w:t>
            </w:r>
            <w:r>
              <w:rPr>
                <w:rFonts w:hint="eastAsia"/>
                <w:bCs/>
              </w:rPr>
              <w:t>-90</w:t>
            </w:r>
            <w:r>
              <w:t>dB(A)。</w:t>
            </w:r>
            <w:r>
              <w:rPr>
                <w:rFonts w:hint="eastAsia"/>
              </w:rPr>
              <w:t>噪声源强如下：</w:t>
            </w:r>
          </w:p>
          <w:p>
            <w:pPr>
              <w:widowControl w:val="0"/>
              <w:spacing w:line="400" w:lineRule="exact"/>
              <w:ind w:firstLine="422"/>
              <w:jc w:val="center"/>
              <w:rPr>
                <w:rFonts w:ascii="宋体" w:hAnsi="宋体"/>
                <w:b/>
                <w:color w:val="000000"/>
                <w:sz w:val="21"/>
                <w:szCs w:val="21"/>
              </w:rPr>
            </w:pPr>
            <w:r>
              <w:rPr>
                <w:rFonts w:ascii="宋体" w:hAnsi="宋体"/>
                <w:b/>
                <w:sz w:val="21"/>
                <w:szCs w:val="21"/>
              </w:rPr>
              <w:t>表</w:t>
            </w:r>
            <w:r>
              <w:rPr>
                <w:rFonts w:hint="eastAsia" w:ascii="宋体" w:hAnsi="宋体"/>
                <w:b/>
                <w:sz w:val="21"/>
                <w:szCs w:val="21"/>
              </w:rPr>
              <w:t>5-10</w:t>
            </w:r>
            <w:r>
              <w:rPr>
                <w:rFonts w:ascii="宋体" w:hAnsi="宋体"/>
                <w:b/>
                <w:sz w:val="21"/>
                <w:szCs w:val="21"/>
              </w:rPr>
              <w:t xml:space="preserve"> 项目</w:t>
            </w:r>
            <w:r>
              <w:rPr>
                <w:rFonts w:hint="eastAsia" w:ascii="宋体" w:hAnsi="宋体"/>
                <w:b/>
                <w:sz w:val="21"/>
                <w:szCs w:val="21"/>
              </w:rPr>
              <w:t>主要</w:t>
            </w:r>
            <w:r>
              <w:rPr>
                <w:rFonts w:ascii="宋体" w:hAnsi="宋体"/>
                <w:b/>
                <w:sz w:val="21"/>
                <w:szCs w:val="21"/>
              </w:rPr>
              <w:t>噪声源强</w:t>
            </w:r>
            <w:r>
              <w:rPr>
                <w:rFonts w:ascii="宋体" w:hAnsi="宋体"/>
                <w:b/>
                <w:color w:val="000000"/>
                <w:sz w:val="21"/>
                <w:szCs w:val="21"/>
              </w:rPr>
              <w:t>：dB(A)</w:t>
            </w:r>
          </w:p>
          <w:tbl>
            <w:tblPr>
              <w:tblStyle w:val="22"/>
              <w:tblW w:w="70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4"/>
              <w:gridCol w:w="2727"/>
              <w:gridCol w:w="1363"/>
              <w:gridCol w:w="1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exact"/>
                <w:jc w:val="center"/>
              </w:trPr>
              <w:tc>
                <w:tcPr>
                  <w:tcW w:w="1034" w:type="dxa"/>
                  <w:vAlign w:val="center"/>
                </w:tcPr>
                <w:p>
                  <w:pPr>
                    <w:spacing w:line="240" w:lineRule="auto"/>
                    <w:ind w:firstLine="0" w:firstLineChars="0"/>
                    <w:rPr>
                      <w:sz w:val="21"/>
                      <w:szCs w:val="21"/>
                    </w:rPr>
                  </w:pPr>
                  <w:r>
                    <w:rPr>
                      <w:rFonts w:hint="eastAsia"/>
                      <w:sz w:val="21"/>
                      <w:szCs w:val="21"/>
                    </w:rPr>
                    <w:t>序号</w:t>
                  </w:r>
                </w:p>
              </w:tc>
              <w:tc>
                <w:tcPr>
                  <w:tcW w:w="2727" w:type="dxa"/>
                  <w:vAlign w:val="center"/>
                </w:tcPr>
                <w:p>
                  <w:pPr>
                    <w:spacing w:line="240" w:lineRule="auto"/>
                    <w:ind w:firstLine="420"/>
                    <w:jc w:val="center"/>
                    <w:rPr>
                      <w:sz w:val="21"/>
                      <w:szCs w:val="21"/>
                    </w:rPr>
                  </w:pPr>
                  <w:r>
                    <w:rPr>
                      <w:rFonts w:hint="eastAsia"/>
                      <w:sz w:val="21"/>
                      <w:szCs w:val="21"/>
                    </w:rPr>
                    <w:t>污染来源</w:t>
                  </w:r>
                </w:p>
              </w:tc>
              <w:tc>
                <w:tcPr>
                  <w:tcW w:w="1363" w:type="dxa"/>
                  <w:vAlign w:val="center"/>
                </w:tcPr>
                <w:p>
                  <w:pPr>
                    <w:spacing w:line="240" w:lineRule="auto"/>
                    <w:ind w:firstLine="420"/>
                    <w:jc w:val="center"/>
                    <w:rPr>
                      <w:sz w:val="21"/>
                      <w:szCs w:val="21"/>
                    </w:rPr>
                  </w:pPr>
                  <w:r>
                    <w:rPr>
                      <w:rFonts w:hint="eastAsia"/>
                      <w:sz w:val="21"/>
                      <w:szCs w:val="21"/>
                    </w:rPr>
                    <w:t>数量</w:t>
                  </w:r>
                </w:p>
              </w:tc>
              <w:tc>
                <w:tcPr>
                  <w:tcW w:w="1886" w:type="dxa"/>
                  <w:vAlign w:val="center"/>
                </w:tcPr>
                <w:p>
                  <w:pPr>
                    <w:spacing w:line="240" w:lineRule="auto"/>
                    <w:ind w:firstLine="420"/>
                    <w:jc w:val="center"/>
                    <w:rPr>
                      <w:sz w:val="21"/>
                      <w:szCs w:val="21"/>
                    </w:rPr>
                  </w:pPr>
                  <w:r>
                    <w:rPr>
                      <w:rFonts w:hint="eastAsia"/>
                      <w:sz w:val="21"/>
                      <w:szCs w:val="21"/>
                    </w:rPr>
                    <w:t>噪声源强dB（A）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exact"/>
                <w:jc w:val="center"/>
              </w:trPr>
              <w:tc>
                <w:tcPr>
                  <w:tcW w:w="1034" w:type="dxa"/>
                  <w:vAlign w:val="center"/>
                </w:tcPr>
                <w:p>
                  <w:pPr>
                    <w:spacing w:line="240" w:lineRule="auto"/>
                    <w:ind w:firstLine="420"/>
                    <w:jc w:val="center"/>
                    <w:rPr>
                      <w:sz w:val="21"/>
                      <w:szCs w:val="21"/>
                    </w:rPr>
                  </w:pPr>
                  <w:r>
                    <w:rPr>
                      <w:rFonts w:hint="eastAsia"/>
                      <w:sz w:val="21"/>
                      <w:szCs w:val="21"/>
                    </w:rPr>
                    <w:t>1</w:t>
                  </w:r>
                </w:p>
              </w:tc>
              <w:tc>
                <w:tcPr>
                  <w:tcW w:w="2727" w:type="dxa"/>
                  <w:vAlign w:val="center"/>
                </w:tcPr>
                <w:p>
                  <w:pPr>
                    <w:spacing w:line="240" w:lineRule="auto"/>
                    <w:ind w:firstLine="0" w:firstLineChars="0"/>
                    <w:rPr>
                      <w:sz w:val="21"/>
                      <w:szCs w:val="21"/>
                    </w:rPr>
                  </w:pPr>
                  <w:r>
                    <w:rPr>
                      <w:rFonts w:hint="eastAsia"/>
                      <w:sz w:val="21"/>
                      <w:szCs w:val="21"/>
                    </w:rPr>
                    <w:t>双枪双油品潜油泵加油机</w:t>
                  </w:r>
                </w:p>
              </w:tc>
              <w:tc>
                <w:tcPr>
                  <w:tcW w:w="1363" w:type="dxa"/>
                  <w:vAlign w:val="center"/>
                </w:tcPr>
                <w:p>
                  <w:pPr>
                    <w:spacing w:line="240" w:lineRule="auto"/>
                    <w:ind w:firstLine="420"/>
                    <w:jc w:val="center"/>
                    <w:rPr>
                      <w:sz w:val="21"/>
                      <w:szCs w:val="21"/>
                    </w:rPr>
                  </w:pPr>
                  <w:r>
                    <w:rPr>
                      <w:rFonts w:hint="eastAsia"/>
                      <w:sz w:val="21"/>
                      <w:szCs w:val="21"/>
                    </w:rPr>
                    <w:t>4台</w:t>
                  </w:r>
                </w:p>
              </w:tc>
              <w:tc>
                <w:tcPr>
                  <w:tcW w:w="1886" w:type="dxa"/>
                  <w:vMerge w:val="restart"/>
                  <w:vAlign w:val="center"/>
                </w:tcPr>
                <w:p>
                  <w:pPr>
                    <w:spacing w:line="240" w:lineRule="auto"/>
                    <w:ind w:firstLine="420"/>
                    <w:jc w:val="center"/>
                    <w:rPr>
                      <w:sz w:val="21"/>
                      <w:szCs w:val="21"/>
                    </w:rPr>
                  </w:pPr>
                  <w:r>
                    <w:rPr>
                      <w:rFonts w:hint="eastAsia"/>
                      <w:sz w:val="21"/>
                      <w:szCs w:val="21"/>
                    </w:rPr>
                    <w:t>70～90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exact"/>
                <w:jc w:val="center"/>
              </w:trPr>
              <w:tc>
                <w:tcPr>
                  <w:tcW w:w="1034" w:type="dxa"/>
                  <w:vAlign w:val="center"/>
                </w:tcPr>
                <w:p>
                  <w:pPr>
                    <w:spacing w:line="240" w:lineRule="auto"/>
                    <w:ind w:firstLine="420"/>
                    <w:jc w:val="center"/>
                    <w:rPr>
                      <w:sz w:val="21"/>
                      <w:szCs w:val="21"/>
                    </w:rPr>
                  </w:pPr>
                  <w:r>
                    <w:rPr>
                      <w:rFonts w:hint="eastAsia"/>
                      <w:sz w:val="21"/>
                      <w:szCs w:val="21"/>
                    </w:rPr>
                    <w:t>2</w:t>
                  </w:r>
                </w:p>
              </w:tc>
              <w:tc>
                <w:tcPr>
                  <w:tcW w:w="2727" w:type="dxa"/>
                  <w:vAlign w:val="center"/>
                </w:tcPr>
                <w:p>
                  <w:pPr>
                    <w:spacing w:line="240" w:lineRule="auto"/>
                    <w:ind w:firstLine="420"/>
                    <w:jc w:val="center"/>
                    <w:rPr>
                      <w:sz w:val="21"/>
                      <w:szCs w:val="21"/>
                    </w:rPr>
                  </w:pPr>
                  <w:r>
                    <w:rPr>
                      <w:sz w:val="21"/>
                      <w:szCs w:val="21"/>
                    </w:rPr>
                    <w:t>加气机</w:t>
                  </w:r>
                </w:p>
              </w:tc>
              <w:tc>
                <w:tcPr>
                  <w:tcW w:w="1363" w:type="dxa"/>
                  <w:vAlign w:val="center"/>
                </w:tcPr>
                <w:p>
                  <w:pPr>
                    <w:spacing w:line="240" w:lineRule="auto"/>
                    <w:ind w:firstLine="420"/>
                    <w:jc w:val="center"/>
                    <w:rPr>
                      <w:sz w:val="21"/>
                      <w:szCs w:val="21"/>
                    </w:rPr>
                  </w:pPr>
                  <w:r>
                    <w:rPr>
                      <w:rFonts w:hint="eastAsia"/>
                      <w:sz w:val="21"/>
                      <w:szCs w:val="21"/>
                    </w:rPr>
                    <w:t>4台</w:t>
                  </w:r>
                </w:p>
              </w:tc>
              <w:tc>
                <w:tcPr>
                  <w:tcW w:w="1886" w:type="dxa"/>
                  <w:vMerge w:val="continue"/>
                  <w:vAlign w:val="center"/>
                </w:tcPr>
                <w:p>
                  <w:pPr>
                    <w:spacing w:line="240" w:lineRule="auto"/>
                    <w:ind w:firstLine="420"/>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exact"/>
                <w:jc w:val="center"/>
              </w:trPr>
              <w:tc>
                <w:tcPr>
                  <w:tcW w:w="1034" w:type="dxa"/>
                  <w:vAlign w:val="center"/>
                </w:tcPr>
                <w:p>
                  <w:pPr>
                    <w:spacing w:line="240" w:lineRule="auto"/>
                    <w:ind w:firstLine="420"/>
                    <w:jc w:val="center"/>
                    <w:rPr>
                      <w:sz w:val="21"/>
                      <w:szCs w:val="21"/>
                    </w:rPr>
                  </w:pPr>
                  <w:r>
                    <w:rPr>
                      <w:rFonts w:hint="eastAsia"/>
                      <w:sz w:val="21"/>
                      <w:szCs w:val="21"/>
                    </w:rPr>
                    <w:t>3</w:t>
                  </w:r>
                </w:p>
              </w:tc>
              <w:tc>
                <w:tcPr>
                  <w:tcW w:w="2727" w:type="dxa"/>
                  <w:vAlign w:val="center"/>
                </w:tcPr>
                <w:p>
                  <w:pPr>
                    <w:spacing w:line="240" w:lineRule="auto"/>
                    <w:ind w:firstLine="420"/>
                    <w:jc w:val="center"/>
                    <w:rPr>
                      <w:sz w:val="21"/>
                      <w:szCs w:val="21"/>
                    </w:rPr>
                  </w:pPr>
                  <w:r>
                    <w:rPr>
                      <w:rFonts w:hint="eastAsia" w:ascii="宋体" w:hAnsi="宋体" w:cs="宋体"/>
                      <w:sz w:val="21"/>
                      <w:szCs w:val="21"/>
                    </w:rPr>
                    <w:t>柱塞泵</w:t>
                  </w:r>
                </w:p>
              </w:tc>
              <w:tc>
                <w:tcPr>
                  <w:tcW w:w="1363" w:type="dxa"/>
                  <w:vAlign w:val="center"/>
                </w:tcPr>
                <w:p>
                  <w:pPr>
                    <w:spacing w:line="240" w:lineRule="auto"/>
                    <w:ind w:firstLine="420"/>
                    <w:jc w:val="center"/>
                    <w:rPr>
                      <w:sz w:val="21"/>
                      <w:szCs w:val="21"/>
                    </w:rPr>
                  </w:pPr>
                  <w:r>
                    <w:rPr>
                      <w:rFonts w:hint="eastAsia"/>
                      <w:sz w:val="21"/>
                      <w:szCs w:val="21"/>
                    </w:rPr>
                    <w:t>1台</w:t>
                  </w:r>
                </w:p>
              </w:tc>
              <w:tc>
                <w:tcPr>
                  <w:tcW w:w="1886" w:type="dxa"/>
                  <w:vMerge w:val="continue"/>
                  <w:vAlign w:val="center"/>
                </w:tcPr>
                <w:p>
                  <w:pPr>
                    <w:spacing w:line="240" w:lineRule="auto"/>
                    <w:ind w:firstLine="420"/>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exact"/>
                <w:jc w:val="center"/>
              </w:trPr>
              <w:tc>
                <w:tcPr>
                  <w:tcW w:w="1034" w:type="dxa"/>
                  <w:vAlign w:val="center"/>
                </w:tcPr>
                <w:p>
                  <w:pPr>
                    <w:spacing w:line="240" w:lineRule="auto"/>
                    <w:ind w:firstLine="420"/>
                    <w:jc w:val="center"/>
                    <w:rPr>
                      <w:sz w:val="21"/>
                      <w:szCs w:val="21"/>
                    </w:rPr>
                  </w:pPr>
                  <w:r>
                    <w:rPr>
                      <w:rFonts w:hint="eastAsia"/>
                      <w:sz w:val="21"/>
                      <w:szCs w:val="21"/>
                    </w:rPr>
                    <w:t>4</w:t>
                  </w:r>
                </w:p>
              </w:tc>
              <w:tc>
                <w:tcPr>
                  <w:tcW w:w="2727" w:type="dxa"/>
                  <w:vAlign w:val="center"/>
                </w:tcPr>
                <w:p>
                  <w:pPr>
                    <w:spacing w:line="240" w:lineRule="auto"/>
                    <w:ind w:firstLine="420"/>
                    <w:jc w:val="center"/>
                    <w:rPr>
                      <w:sz w:val="21"/>
                      <w:szCs w:val="21"/>
                    </w:rPr>
                  </w:pPr>
                  <w:r>
                    <w:rPr>
                      <w:sz w:val="21"/>
                      <w:szCs w:val="21"/>
                    </w:rPr>
                    <w:t>潜油泵</w:t>
                  </w:r>
                </w:p>
              </w:tc>
              <w:tc>
                <w:tcPr>
                  <w:tcW w:w="1363" w:type="dxa"/>
                  <w:vAlign w:val="center"/>
                </w:tcPr>
                <w:p>
                  <w:pPr>
                    <w:spacing w:line="240" w:lineRule="auto"/>
                    <w:ind w:firstLine="420"/>
                    <w:jc w:val="center"/>
                    <w:rPr>
                      <w:sz w:val="21"/>
                      <w:szCs w:val="21"/>
                    </w:rPr>
                  </w:pPr>
                  <w:r>
                    <w:rPr>
                      <w:rFonts w:hint="eastAsia"/>
                      <w:sz w:val="21"/>
                      <w:szCs w:val="21"/>
                    </w:rPr>
                    <w:t>1台</w:t>
                  </w:r>
                </w:p>
              </w:tc>
              <w:tc>
                <w:tcPr>
                  <w:tcW w:w="1886" w:type="dxa"/>
                  <w:vMerge w:val="continue"/>
                  <w:vAlign w:val="center"/>
                </w:tcPr>
                <w:p>
                  <w:pPr>
                    <w:spacing w:line="240" w:lineRule="auto"/>
                    <w:ind w:firstLine="420"/>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7" w:hRule="exact"/>
                <w:jc w:val="center"/>
              </w:trPr>
              <w:tc>
                <w:tcPr>
                  <w:tcW w:w="1034" w:type="dxa"/>
                  <w:vAlign w:val="center"/>
                </w:tcPr>
                <w:p>
                  <w:pPr>
                    <w:spacing w:line="240" w:lineRule="auto"/>
                    <w:ind w:firstLine="420"/>
                    <w:jc w:val="center"/>
                    <w:rPr>
                      <w:sz w:val="21"/>
                      <w:szCs w:val="21"/>
                    </w:rPr>
                  </w:pPr>
                  <w:r>
                    <w:rPr>
                      <w:rFonts w:hint="eastAsia"/>
                      <w:sz w:val="21"/>
                      <w:szCs w:val="21"/>
                    </w:rPr>
                    <w:t>5</w:t>
                  </w:r>
                </w:p>
              </w:tc>
              <w:tc>
                <w:tcPr>
                  <w:tcW w:w="2727" w:type="dxa"/>
                  <w:vAlign w:val="center"/>
                </w:tcPr>
                <w:p>
                  <w:pPr>
                    <w:spacing w:line="240" w:lineRule="auto"/>
                    <w:ind w:firstLine="420"/>
                    <w:jc w:val="center"/>
                    <w:rPr>
                      <w:sz w:val="21"/>
                      <w:szCs w:val="21"/>
                    </w:rPr>
                  </w:pPr>
                  <w:r>
                    <w:rPr>
                      <w:rFonts w:hint="eastAsia"/>
                      <w:sz w:val="21"/>
                      <w:szCs w:val="21"/>
                    </w:rPr>
                    <w:t>高压汽化器</w:t>
                  </w:r>
                </w:p>
              </w:tc>
              <w:tc>
                <w:tcPr>
                  <w:tcW w:w="1363" w:type="dxa"/>
                  <w:vAlign w:val="center"/>
                </w:tcPr>
                <w:p>
                  <w:pPr>
                    <w:spacing w:line="240" w:lineRule="auto"/>
                    <w:ind w:firstLine="420"/>
                    <w:jc w:val="center"/>
                    <w:rPr>
                      <w:sz w:val="21"/>
                      <w:szCs w:val="21"/>
                    </w:rPr>
                  </w:pPr>
                  <w:r>
                    <w:rPr>
                      <w:rFonts w:hint="eastAsia"/>
                      <w:sz w:val="21"/>
                      <w:szCs w:val="21"/>
                    </w:rPr>
                    <w:t>2台</w:t>
                  </w:r>
                </w:p>
              </w:tc>
              <w:tc>
                <w:tcPr>
                  <w:tcW w:w="1886" w:type="dxa"/>
                  <w:vMerge w:val="continue"/>
                  <w:vAlign w:val="center"/>
                </w:tcPr>
                <w:p>
                  <w:pPr>
                    <w:spacing w:line="240" w:lineRule="auto"/>
                    <w:ind w:firstLine="420"/>
                    <w:jc w:val="center"/>
                    <w:rPr>
                      <w:sz w:val="21"/>
                      <w:szCs w:val="21"/>
                    </w:rPr>
                  </w:pPr>
                </w:p>
              </w:tc>
            </w:tr>
          </w:tbl>
          <w:p>
            <w:pPr>
              <w:widowControl w:val="0"/>
              <w:spacing w:before="120" w:beforeLines="50"/>
              <w:ind w:firstLine="480"/>
              <w:jc w:val="both"/>
            </w:pPr>
            <w:r>
              <w:t>噪声控制措施</w:t>
            </w:r>
          </w:p>
          <w:p>
            <w:pPr>
              <w:widowControl w:val="0"/>
              <w:ind w:firstLine="480"/>
              <w:jc w:val="left"/>
            </w:pPr>
            <w:r>
              <w:rPr>
                <w:rFonts w:hint="eastAsia"/>
              </w:rPr>
              <w:t xml:space="preserve">在进行验收期间污染源调查中，本项目投入营运后，在加油加气站入口设置醒目的导向标志，使进出车辆能有章可循，以减少刹车、起动、倒车等引起的声级增加值，同时应设置禁鸣标示，禁止进出车辆在区内鸣笛，降低交通噪声对环境影响。 </w:t>
            </w:r>
          </w:p>
          <w:p>
            <w:pPr>
              <w:widowControl w:val="0"/>
              <w:ind w:firstLine="480"/>
              <w:jc w:val="left"/>
            </w:pPr>
            <w:r>
              <w:rPr>
                <w:rFonts w:hint="eastAsia"/>
              </w:rPr>
              <w:t xml:space="preserve">输油泵、加油机等设备噪声均为项目的固定噪声源，本加油加气站选用高效、低噪声设备，对高噪声设备采取减震、消声等措施，消除噪声对外环境的影响，并加强设备的维护，确保设备处于良好的运转状态，杜绝因设备不正常运转时产生的高噪声现象；并且加强项目周边和场地绿化等，减少对周围环境的影响。 </w:t>
            </w:r>
          </w:p>
          <w:p>
            <w:pPr>
              <w:widowControl w:val="0"/>
              <w:ind w:firstLine="0" w:firstLineChars="0"/>
              <w:jc w:val="both"/>
              <w:rPr>
                <w:b/>
                <w:bCs/>
              </w:rPr>
            </w:pPr>
            <w:r>
              <w:rPr>
                <w:rFonts w:hint="eastAsia"/>
                <w:b/>
                <w:bCs/>
              </w:rPr>
              <w:t>4、</w:t>
            </w:r>
            <w:r>
              <w:rPr>
                <w:b/>
                <w:bCs/>
              </w:rPr>
              <w:t>固体废物</w:t>
            </w:r>
          </w:p>
          <w:p>
            <w:pPr>
              <w:widowControl/>
              <w:ind w:firstLine="240" w:firstLineChars="100"/>
              <w:jc w:val="left"/>
            </w:pPr>
            <w:r>
              <w:rPr>
                <w:rFonts w:hint="eastAsia" w:asciiTheme="minorEastAsia" w:hAnsiTheme="minorEastAsia" w:eastAsiaTheme="minorEastAsia" w:cstheme="minorEastAsia"/>
              </w:rPr>
              <w:t>在验收调查时，安徽灵通清洁能源股份有限公司灵通横港物流园L-CNC油气合建站项目</w:t>
            </w:r>
            <w:r>
              <w:rPr>
                <w:rFonts w:hint="eastAsia"/>
              </w:rPr>
              <w:t>固废主要为</w:t>
            </w:r>
            <w:r>
              <w:rPr>
                <w:rFonts w:hint="eastAsia" w:ascii="宋体" w:hAnsi="宋体" w:cs="宋体"/>
                <w:color w:val="000000"/>
                <w:lang w:bidi="ar"/>
              </w:rPr>
              <w:t>职工的生活垃圾。生活垃圾定点收集，委托环卫部门处置。</w:t>
            </w:r>
            <w:r>
              <w:rPr>
                <w:sz w:val="21"/>
              </w:rPr>
              <mc:AlternateContent>
                <mc:Choice Requires="wps">
                  <w:drawing>
                    <wp:anchor distT="0" distB="0" distL="114300" distR="114300" simplePos="0" relativeHeight="257211392" behindDoc="0" locked="0" layoutInCell="1" allowOverlap="1">
                      <wp:simplePos x="0" y="0"/>
                      <wp:positionH relativeFrom="column">
                        <wp:posOffset>2846070</wp:posOffset>
                      </wp:positionH>
                      <wp:positionV relativeFrom="paragraph">
                        <wp:posOffset>-819785</wp:posOffset>
                      </wp:positionV>
                      <wp:extent cx="437515" cy="2635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37515" cy="263525"/>
                              </a:xfrm>
                              <a:prstGeom prst="rect">
                                <a:avLst/>
                              </a:prstGeom>
                              <a:noFill/>
                              <a:ln w="12700">
                                <a:noFill/>
                              </a:ln>
                            </wps:spPr>
                            <wps:txbx>
                              <w:txbxContent>
                                <w:p>
                                  <w:pPr>
                                    <w:ind w:firstLine="480"/>
                                  </w:pPr>
                                </w:p>
                              </w:txbxContent>
                            </wps:txbx>
                            <wps:bodyPr/>
                          </wps:wsp>
                        </a:graphicData>
                      </a:graphic>
                    </wp:anchor>
                  </w:drawing>
                </mc:Choice>
                <mc:Fallback>
                  <w:pict>
                    <v:shape id="_x0000_s1026" o:spid="_x0000_s1026" o:spt="202" type="#_x0000_t202" style="position:absolute;left:0pt;margin-left:224.1pt;margin-top:-64.55pt;height:20.75pt;width:34.45pt;z-index:257211392;mso-width-relative:page;mso-height-relative:page;" filled="f" stroked="f" coordsize="21600,21600" o:gfxdata="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Sj&#10;GWXaAAAADAEAAA8AAAAAAAAAAQAgAAAAIgAAAGRycy9kb3ducmV2LnhtbFBLAQIUABQAAAAIAIdO&#10;4kB30/mrrwEAAEsDAAAOAAAAAAAAAAEAIAAAACkBAABkcnMvZTJvRG9jLnhtbFBLBQYAAAAABgAG&#10;AFkBAABKBQAAAAA=&#10;">
                      <v:fill on="f" focussize="0,0"/>
                      <v:stroke on="f" weight="1pt"/>
                      <v:imagedata o:title=""/>
                      <o:lock v:ext="edit" aspectratio="f"/>
                      <v:textbox>
                        <w:txbxContent>
                          <w:p>
                            <w:pPr>
                              <w:ind w:firstLine="480"/>
                            </w:pPr>
                          </w:p>
                        </w:txbxContent>
                      </v:textbox>
                    </v:shape>
                  </w:pict>
                </mc:Fallback>
              </mc:AlternateContent>
            </w:r>
            <w:r>
              <w:rPr>
                <w:sz w:val="21"/>
              </w:rPr>
              <w:t xml:space="preserve"> </w:t>
            </w:r>
            <w:r>
              <w:rPr>
                <w:bCs/>
              </w:rPr>
              <w:t xml:space="preserve"> </w:t>
            </w:r>
          </w:p>
          <w:p>
            <w:pPr>
              <w:pStyle w:val="28"/>
              <w:widowControl w:val="0"/>
              <w:rPr>
                <w:b/>
                <w:bCs/>
              </w:rPr>
            </w:pPr>
            <w:r>
              <w:t xml:space="preserve"> </w:t>
            </w:r>
            <w:r>
              <w:rPr>
                <w:rFonts w:hint="eastAsia"/>
                <w:b/>
                <w:bCs/>
              </w:rPr>
              <w:t>表3-9</w:t>
            </w:r>
            <w:r>
              <w:rPr>
                <w:b/>
                <w:bCs/>
              </w:rPr>
              <w:t>建设项目环保</w:t>
            </w:r>
            <w:r>
              <w:rPr>
                <w:rFonts w:hint="eastAsia"/>
                <w:b/>
                <w:bCs/>
              </w:rPr>
              <w:t>实际</w:t>
            </w:r>
            <w:r>
              <w:rPr>
                <w:b/>
                <w:bCs/>
              </w:rPr>
              <w:t>投资一览表</w:t>
            </w:r>
          </w:p>
          <w:tbl>
            <w:tblPr>
              <w:tblStyle w:val="22"/>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4332"/>
              <w:gridCol w:w="100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dxa"/>
                  <w:vAlign w:val="center"/>
                </w:tcPr>
                <w:p>
                  <w:pPr>
                    <w:pStyle w:val="27"/>
                  </w:pPr>
                  <w:r>
                    <w:t>项目</w:t>
                  </w:r>
                </w:p>
              </w:tc>
              <w:tc>
                <w:tcPr>
                  <w:tcW w:w="4332" w:type="dxa"/>
                  <w:vAlign w:val="center"/>
                </w:tcPr>
                <w:p>
                  <w:pPr>
                    <w:pStyle w:val="27"/>
                  </w:pPr>
                  <w:r>
                    <w:t>治理对象和治理方案</w:t>
                  </w:r>
                </w:p>
              </w:tc>
              <w:tc>
                <w:tcPr>
                  <w:tcW w:w="1009" w:type="dxa"/>
                  <w:vAlign w:val="center"/>
                </w:tcPr>
                <w:p>
                  <w:pPr>
                    <w:pStyle w:val="27"/>
                  </w:pPr>
                  <w:r>
                    <w:t>预计投资(万元)</w:t>
                  </w:r>
                </w:p>
              </w:tc>
              <w:tc>
                <w:tcPr>
                  <w:tcW w:w="1513" w:type="dxa"/>
                  <w:vAlign w:val="center"/>
                </w:tcPr>
                <w:p>
                  <w:pPr>
                    <w:pStyle w:val="27"/>
                  </w:pPr>
                  <w:r>
                    <w:t>实际环保投资(万元)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Merge w:val="restart"/>
                  <w:vAlign w:val="center"/>
                </w:tcPr>
                <w:p>
                  <w:pPr>
                    <w:widowControl w:val="0"/>
                    <w:adjustRightInd/>
                    <w:snapToGrid/>
                    <w:spacing w:line="240" w:lineRule="auto"/>
                    <w:ind w:firstLine="0" w:firstLineChars="0"/>
                    <w:jc w:val="center"/>
                    <w:rPr>
                      <w:sz w:val="21"/>
                      <w:szCs w:val="21"/>
                    </w:rPr>
                  </w:pPr>
                  <w:r>
                    <w:rPr>
                      <w:rFonts w:hint="eastAsia"/>
                      <w:sz w:val="21"/>
                      <w:szCs w:val="21"/>
                    </w:rPr>
                    <w:t>废气治理</w:t>
                  </w:r>
                </w:p>
              </w:tc>
              <w:tc>
                <w:tcPr>
                  <w:tcW w:w="4332" w:type="dxa"/>
                  <w:vAlign w:val="center"/>
                </w:tcPr>
                <w:p>
                  <w:pPr>
                    <w:widowControl w:val="0"/>
                    <w:adjustRightInd/>
                    <w:snapToGrid/>
                    <w:spacing w:line="240" w:lineRule="auto"/>
                    <w:ind w:firstLine="0" w:firstLineChars="0"/>
                    <w:rPr>
                      <w:color w:val="000000"/>
                      <w:sz w:val="21"/>
                      <w:szCs w:val="21"/>
                    </w:rPr>
                  </w:pPr>
                  <w:r>
                    <w:rPr>
                      <w:rFonts w:hint="eastAsia"/>
                      <w:sz w:val="21"/>
                      <w:szCs w:val="21"/>
                    </w:rPr>
                    <w:t>加油作业：油气回收系统</w:t>
                  </w:r>
                </w:p>
              </w:tc>
              <w:tc>
                <w:tcPr>
                  <w:tcW w:w="1009" w:type="dxa"/>
                  <w:vMerge w:val="restart"/>
                  <w:vAlign w:val="center"/>
                </w:tcPr>
                <w:p>
                  <w:pPr>
                    <w:pStyle w:val="27"/>
                  </w:pPr>
                  <w:r>
                    <w:rPr>
                      <w:rFonts w:hint="eastAsia"/>
                    </w:rPr>
                    <w:t>5</w:t>
                  </w:r>
                </w:p>
              </w:tc>
              <w:tc>
                <w:tcPr>
                  <w:tcW w:w="1513" w:type="dxa"/>
                  <w:vAlign w:val="center"/>
                </w:tcPr>
                <w:p>
                  <w:pPr>
                    <w:pStyle w:val="27"/>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Merge w:val="continue"/>
                  <w:vAlign w:val="center"/>
                </w:tcPr>
                <w:p>
                  <w:pPr>
                    <w:widowControl w:val="0"/>
                    <w:adjustRightInd/>
                    <w:snapToGrid/>
                    <w:spacing w:line="240" w:lineRule="auto"/>
                    <w:ind w:firstLine="0" w:firstLineChars="0"/>
                    <w:jc w:val="center"/>
                    <w:rPr>
                      <w:sz w:val="21"/>
                      <w:szCs w:val="21"/>
                    </w:rPr>
                  </w:pPr>
                </w:p>
              </w:tc>
              <w:tc>
                <w:tcPr>
                  <w:tcW w:w="4332" w:type="dxa"/>
                  <w:vAlign w:val="center"/>
                </w:tcPr>
                <w:p>
                  <w:pPr>
                    <w:widowControl w:val="0"/>
                    <w:adjustRightInd/>
                    <w:snapToGrid/>
                    <w:spacing w:line="240" w:lineRule="auto"/>
                    <w:ind w:firstLine="0" w:firstLineChars="0"/>
                    <w:rPr>
                      <w:sz w:val="21"/>
                      <w:szCs w:val="21"/>
                    </w:rPr>
                  </w:pPr>
                  <w:r>
                    <w:rPr>
                      <w:rFonts w:hint="eastAsia"/>
                      <w:sz w:val="21"/>
                      <w:szCs w:val="21"/>
                    </w:rPr>
                    <w:t>加气作业：设置 EAG 加热系统对放散天然气加热后放散</w:t>
                  </w:r>
                </w:p>
              </w:tc>
              <w:tc>
                <w:tcPr>
                  <w:tcW w:w="1009" w:type="dxa"/>
                  <w:vMerge w:val="continue"/>
                  <w:vAlign w:val="center"/>
                </w:tcPr>
                <w:p>
                  <w:pPr>
                    <w:pStyle w:val="27"/>
                  </w:pPr>
                </w:p>
              </w:tc>
              <w:tc>
                <w:tcPr>
                  <w:tcW w:w="1513" w:type="dxa"/>
                  <w:vAlign w:val="center"/>
                </w:tcPr>
                <w:p>
                  <w:pPr>
                    <w:pStyle w:val="27"/>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Align w:val="center"/>
                </w:tcPr>
                <w:p>
                  <w:pPr>
                    <w:widowControl w:val="0"/>
                    <w:adjustRightInd/>
                    <w:snapToGrid/>
                    <w:spacing w:line="240" w:lineRule="auto"/>
                    <w:ind w:left="-108" w:right="-108" w:firstLine="0" w:firstLineChars="0"/>
                    <w:jc w:val="center"/>
                    <w:rPr>
                      <w:sz w:val="21"/>
                      <w:szCs w:val="21"/>
                    </w:rPr>
                  </w:pPr>
                  <w:r>
                    <w:rPr>
                      <w:rFonts w:hint="eastAsia"/>
                      <w:sz w:val="21"/>
                      <w:szCs w:val="21"/>
                    </w:rPr>
                    <w:t>废水治理</w:t>
                  </w:r>
                </w:p>
              </w:tc>
              <w:tc>
                <w:tcPr>
                  <w:tcW w:w="4332" w:type="dxa"/>
                  <w:vAlign w:val="center"/>
                </w:tcPr>
                <w:p>
                  <w:pPr>
                    <w:widowControl w:val="0"/>
                    <w:adjustRightInd/>
                    <w:snapToGrid/>
                    <w:spacing w:line="240" w:lineRule="auto"/>
                    <w:ind w:left="-108" w:right="-108" w:firstLine="0" w:firstLineChars="0"/>
                    <w:jc w:val="center"/>
                    <w:rPr>
                      <w:sz w:val="21"/>
                      <w:szCs w:val="21"/>
                    </w:rPr>
                  </w:pPr>
                  <w:r>
                    <w:rPr>
                      <w:rFonts w:hint="eastAsia"/>
                      <w:sz w:val="21"/>
                      <w:szCs w:val="21"/>
                    </w:rPr>
                    <w:t>生活污水、冲洗废水：</w:t>
                  </w:r>
                  <w:r>
                    <w:rPr>
                      <w:sz w:val="21"/>
                      <w:szCs w:val="21"/>
                    </w:rPr>
                    <w:t>化粪池</w:t>
                  </w:r>
                  <w:r>
                    <w:rPr>
                      <w:rFonts w:hint="eastAsia"/>
                      <w:sz w:val="21"/>
                      <w:szCs w:val="21"/>
                    </w:rPr>
                    <w:t>、隔油池、地埋式污水处理设施，委托第三方送新民污水处理厂处理</w:t>
                  </w:r>
                </w:p>
              </w:tc>
              <w:tc>
                <w:tcPr>
                  <w:tcW w:w="1009" w:type="dxa"/>
                  <w:vAlign w:val="center"/>
                </w:tcPr>
                <w:p>
                  <w:pPr>
                    <w:pStyle w:val="27"/>
                  </w:pPr>
                  <w:r>
                    <w:rPr>
                      <w:rFonts w:hint="eastAsia"/>
                    </w:rPr>
                    <w:t>1</w:t>
                  </w:r>
                  <w:r>
                    <w:t>0</w:t>
                  </w:r>
                </w:p>
              </w:tc>
              <w:tc>
                <w:tcPr>
                  <w:tcW w:w="1513" w:type="dxa"/>
                  <w:vAlign w:val="center"/>
                </w:tcPr>
                <w:p>
                  <w:pPr>
                    <w:pStyle w:val="27"/>
                  </w:pPr>
                  <w:r>
                    <w:rPr>
                      <w:rFonts w:hint="eastAsia"/>
                    </w:rPr>
                    <w:t>1</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Align w:val="center"/>
                </w:tcPr>
                <w:p>
                  <w:pPr>
                    <w:widowControl w:val="0"/>
                    <w:adjustRightInd/>
                    <w:snapToGrid/>
                    <w:spacing w:line="240" w:lineRule="auto"/>
                    <w:ind w:left="-108" w:right="-108" w:firstLine="0" w:firstLineChars="0"/>
                    <w:jc w:val="center"/>
                    <w:rPr>
                      <w:sz w:val="21"/>
                      <w:szCs w:val="21"/>
                    </w:rPr>
                  </w:pPr>
                  <w:r>
                    <w:rPr>
                      <w:rFonts w:hint="eastAsia"/>
                      <w:sz w:val="21"/>
                      <w:szCs w:val="21"/>
                    </w:rPr>
                    <w:t>噪声治理</w:t>
                  </w:r>
                </w:p>
              </w:tc>
              <w:tc>
                <w:tcPr>
                  <w:tcW w:w="4332" w:type="dxa"/>
                  <w:vAlign w:val="center"/>
                </w:tcPr>
                <w:p>
                  <w:pPr>
                    <w:widowControl w:val="0"/>
                    <w:adjustRightInd/>
                    <w:snapToGrid/>
                    <w:spacing w:line="240" w:lineRule="auto"/>
                    <w:ind w:left="-122" w:leftChars="-51" w:right="-108" w:firstLine="0" w:firstLineChars="0"/>
                    <w:jc w:val="center"/>
                    <w:rPr>
                      <w:sz w:val="21"/>
                      <w:szCs w:val="21"/>
                    </w:rPr>
                  </w:pPr>
                  <w:r>
                    <w:rPr>
                      <w:sz w:val="21"/>
                      <w:szCs w:val="21"/>
                    </w:rPr>
                    <w:t>产噪设备</w:t>
                  </w:r>
                  <w:r>
                    <w:rPr>
                      <w:rFonts w:hint="eastAsia"/>
                      <w:sz w:val="21"/>
                      <w:szCs w:val="21"/>
                    </w:rPr>
                    <w:t>：</w:t>
                  </w:r>
                  <w:r>
                    <w:rPr>
                      <w:sz w:val="21"/>
                      <w:szCs w:val="21"/>
                    </w:rPr>
                    <w:t>安装减振基础和消声器等</w:t>
                  </w:r>
                </w:p>
              </w:tc>
              <w:tc>
                <w:tcPr>
                  <w:tcW w:w="1009" w:type="dxa"/>
                  <w:vAlign w:val="center"/>
                </w:tcPr>
                <w:p>
                  <w:pPr>
                    <w:pStyle w:val="27"/>
                  </w:pPr>
                  <w:r>
                    <w:rPr>
                      <w:rFonts w:hint="eastAsia"/>
                    </w:rPr>
                    <w:t>2</w:t>
                  </w:r>
                </w:p>
              </w:tc>
              <w:tc>
                <w:tcPr>
                  <w:tcW w:w="1513" w:type="dxa"/>
                  <w:vAlign w:val="center"/>
                </w:tcPr>
                <w:p>
                  <w:pPr>
                    <w:pStyle w:val="27"/>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Merge w:val="restart"/>
                  <w:vAlign w:val="center"/>
                </w:tcPr>
                <w:p>
                  <w:pPr>
                    <w:widowControl w:val="0"/>
                    <w:adjustRightInd/>
                    <w:snapToGrid/>
                    <w:spacing w:line="240" w:lineRule="auto"/>
                    <w:ind w:left="-94" w:leftChars="-39" w:right="-216" w:rightChars="-90" w:firstLine="0" w:firstLineChars="0"/>
                    <w:jc w:val="center"/>
                    <w:rPr>
                      <w:sz w:val="21"/>
                      <w:szCs w:val="21"/>
                    </w:rPr>
                  </w:pPr>
                  <w:r>
                    <w:rPr>
                      <w:rFonts w:hint="eastAsia"/>
                      <w:sz w:val="21"/>
                      <w:szCs w:val="21"/>
                    </w:rPr>
                    <w:t>固废治理</w:t>
                  </w:r>
                </w:p>
              </w:tc>
              <w:tc>
                <w:tcPr>
                  <w:tcW w:w="4332" w:type="dxa"/>
                  <w:vAlign w:val="center"/>
                </w:tcPr>
                <w:p>
                  <w:pPr>
                    <w:widowControl w:val="0"/>
                    <w:adjustRightInd/>
                    <w:snapToGrid/>
                    <w:spacing w:line="240" w:lineRule="auto"/>
                    <w:ind w:firstLine="0" w:firstLineChars="0"/>
                    <w:rPr>
                      <w:sz w:val="21"/>
                      <w:szCs w:val="21"/>
                    </w:rPr>
                  </w:pPr>
                  <w:r>
                    <w:rPr>
                      <w:rFonts w:hint="eastAsia"/>
                      <w:sz w:val="21"/>
                      <w:szCs w:val="21"/>
                    </w:rPr>
                    <w:t>生活垃圾：</w:t>
                  </w:r>
                  <w:r>
                    <w:rPr>
                      <w:sz w:val="21"/>
                      <w:szCs w:val="21"/>
                    </w:rPr>
                    <w:t>设置垃圾收集桶，环卫部门清运并处理</w:t>
                  </w:r>
                </w:p>
              </w:tc>
              <w:tc>
                <w:tcPr>
                  <w:tcW w:w="1009" w:type="dxa"/>
                  <w:vMerge w:val="restart"/>
                  <w:vAlign w:val="center"/>
                </w:tcPr>
                <w:p>
                  <w:pPr>
                    <w:pStyle w:val="27"/>
                  </w:pPr>
                  <w:r>
                    <w:rPr>
                      <w:rFonts w:hint="eastAsia"/>
                    </w:rPr>
                    <w:t>3</w:t>
                  </w:r>
                </w:p>
              </w:tc>
              <w:tc>
                <w:tcPr>
                  <w:tcW w:w="1513" w:type="dxa"/>
                  <w:vMerge w:val="restart"/>
                  <w:vAlign w:val="center"/>
                </w:tcPr>
                <w:p>
                  <w:pPr>
                    <w:pStyle w:val="27"/>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Merge w:val="continue"/>
                  <w:vAlign w:val="center"/>
                </w:tcPr>
                <w:p>
                  <w:pPr>
                    <w:spacing w:line="240" w:lineRule="auto"/>
                    <w:ind w:firstLine="0" w:firstLineChars="0"/>
                    <w:rPr>
                      <w:rFonts w:ascii="宋体" w:hAnsi="宋体"/>
                      <w:sz w:val="21"/>
                      <w:szCs w:val="21"/>
                    </w:rPr>
                  </w:pPr>
                </w:p>
              </w:tc>
              <w:tc>
                <w:tcPr>
                  <w:tcW w:w="4332" w:type="dxa"/>
                  <w:vAlign w:val="center"/>
                </w:tcPr>
                <w:p>
                  <w:pPr>
                    <w:widowControl w:val="0"/>
                    <w:adjustRightInd/>
                    <w:snapToGrid/>
                    <w:spacing w:line="240" w:lineRule="auto"/>
                    <w:ind w:left="-94" w:leftChars="-39" w:right="-216" w:rightChars="-90" w:firstLine="0" w:firstLineChars="0"/>
                    <w:rPr>
                      <w:sz w:val="21"/>
                      <w:szCs w:val="21"/>
                    </w:rPr>
                  </w:pPr>
                  <w:r>
                    <w:rPr>
                      <w:rFonts w:hint="eastAsia"/>
                      <w:sz w:val="21"/>
                      <w:szCs w:val="21"/>
                    </w:rPr>
                    <w:t>废油及油泥、废弃含油石沙、棉布：</w:t>
                  </w:r>
                  <w:r>
                    <w:rPr>
                      <w:rFonts w:hint="eastAsia" w:ascii="宋体" w:hAnsi="宋体"/>
                      <w:sz w:val="21"/>
                      <w:szCs w:val="21"/>
                    </w:rPr>
                    <w:t>设置险废物暂存间，送有资质的公司处置</w:t>
                  </w:r>
                </w:p>
              </w:tc>
              <w:tc>
                <w:tcPr>
                  <w:tcW w:w="1009" w:type="dxa"/>
                  <w:vMerge w:val="continue"/>
                  <w:vAlign w:val="center"/>
                </w:tcPr>
                <w:p>
                  <w:pPr>
                    <w:pStyle w:val="27"/>
                  </w:pPr>
                </w:p>
              </w:tc>
              <w:tc>
                <w:tcPr>
                  <w:tcW w:w="1513" w:type="dxa"/>
                  <w:vMerge w:val="continue"/>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63" w:type="dxa"/>
                  <w:vMerge w:val="restart"/>
                  <w:vAlign w:val="center"/>
                </w:tcPr>
                <w:p>
                  <w:pPr>
                    <w:spacing w:line="240" w:lineRule="auto"/>
                    <w:ind w:firstLine="0" w:firstLineChars="0"/>
                    <w:rPr>
                      <w:sz w:val="21"/>
                      <w:szCs w:val="21"/>
                    </w:rPr>
                  </w:pPr>
                  <w:r>
                    <w:rPr>
                      <w:rFonts w:hint="eastAsia"/>
                      <w:sz w:val="21"/>
                      <w:szCs w:val="21"/>
                    </w:rPr>
                    <w:t>环境风险</w:t>
                  </w:r>
                </w:p>
              </w:tc>
              <w:tc>
                <w:tcPr>
                  <w:tcW w:w="4332" w:type="dxa"/>
                  <w:vAlign w:val="center"/>
                </w:tcPr>
                <w:p>
                  <w:pPr>
                    <w:widowControl w:val="0"/>
                    <w:adjustRightInd/>
                    <w:snapToGrid/>
                    <w:spacing w:line="240" w:lineRule="auto"/>
                    <w:ind w:firstLine="0" w:firstLineChars="0"/>
                    <w:jc w:val="center"/>
                    <w:rPr>
                      <w:rFonts w:ascii="宋体" w:hAnsi="宋体"/>
                      <w:sz w:val="21"/>
                      <w:szCs w:val="21"/>
                    </w:rPr>
                  </w:pPr>
                  <w:r>
                    <w:rPr>
                      <w:rFonts w:hint="eastAsia"/>
                      <w:sz w:val="21"/>
                      <w:szCs w:val="21"/>
                    </w:rPr>
                    <w:t>油品泄露、火灾、爆炸：</w:t>
                  </w:r>
                  <w:r>
                    <w:rPr>
                      <w:rFonts w:ascii="宋体" w:hAnsi="宋体"/>
                      <w:sz w:val="21"/>
                      <w:szCs w:val="21"/>
                    </w:rPr>
                    <w:t>采用双层防火防爆油罐，配套漏油事故池、沙池、灭火器等。站内设禁止吸烟、禁止打手机的警示牌，加强设备</w:t>
                  </w:r>
                  <w:r>
                    <w:rPr>
                      <w:rFonts w:hint="eastAsia" w:ascii="宋体" w:hAnsi="宋体"/>
                      <w:sz w:val="21"/>
                      <w:szCs w:val="21"/>
                    </w:rPr>
                    <w:t>管道维护</w:t>
                  </w:r>
                </w:p>
              </w:tc>
              <w:tc>
                <w:tcPr>
                  <w:tcW w:w="1009" w:type="dxa"/>
                  <w:vMerge w:val="restart"/>
                  <w:vAlign w:val="center"/>
                </w:tcPr>
                <w:p>
                  <w:pPr>
                    <w:pStyle w:val="27"/>
                  </w:pPr>
                  <w:r>
                    <w:rPr>
                      <w:rFonts w:hint="eastAsia"/>
                    </w:rPr>
                    <w:t>2</w:t>
                  </w:r>
                  <w:r>
                    <w:t>5</w:t>
                  </w:r>
                </w:p>
              </w:tc>
              <w:tc>
                <w:tcPr>
                  <w:tcW w:w="1513" w:type="dxa"/>
                  <w:vMerge w:val="restart"/>
                  <w:vAlign w:val="center"/>
                </w:tcPr>
                <w:p>
                  <w:pPr>
                    <w:pStyle w:val="27"/>
                  </w:pPr>
                  <w:r>
                    <w:rPr>
                      <w:rFonts w:hint="eastAsia"/>
                    </w:rPr>
                    <w:t>3</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63" w:type="dxa"/>
                  <w:vMerge w:val="continue"/>
                  <w:vAlign w:val="center"/>
                </w:tcPr>
                <w:p>
                  <w:pPr>
                    <w:spacing w:line="240" w:lineRule="auto"/>
                    <w:ind w:firstLine="0" w:firstLineChars="0"/>
                    <w:rPr>
                      <w:sz w:val="21"/>
                      <w:szCs w:val="21"/>
                    </w:rPr>
                  </w:pPr>
                </w:p>
              </w:tc>
              <w:tc>
                <w:tcPr>
                  <w:tcW w:w="4332" w:type="dxa"/>
                  <w:vAlign w:val="center"/>
                </w:tcPr>
                <w:p>
                  <w:pPr>
                    <w:widowControl w:val="0"/>
                    <w:adjustRightInd/>
                    <w:snapToGrid/>
                    <w:spacing w:line="240" w:lineRule="auto"/>
                    <w:ind w:firstLine="0" w:firstLineChars="0"/>
                    <w:rPr>
                      <w:rFonts w:ascii="宋体" w:hAnsi="宋体"/>
                      <w:sz w:val="21"/>
                      <w:szCs w:val="21"/>
                    </w:rPr>
                  </w:pPr>
                  <w:r>
                    <w:rPr>
                      <w:sz w:val="21"/>
                      <w:szCs w:val="21"/>
                    </w:rPr>
                    <w:t>防渗</w:t>
                  </w:r>
                  <w:r>
                    <w:rPr>
                      <w:rFonts w:hint="eastAsia"/>
                      <w:sz w:val="21"/>
                      <w:szCs w:val="21"/>
                    </w:rPr>
                    <w:t>措施：</w:t>
                  </w:r>
                  <w:r>
                    <w:rPr>
                      <w:sz w:val="21"/>
                      <w:szCs w:val="21"/>
                    </w:rPr>
                    <w:t>对储油罐区（含卸油区）、加油区、隔油池、化粪池</w:t>
                  </w:r>
                  <w:r>
                    <w:rPr>
                      <w:rFonts w:hint="eastAsia"/>
                      <w:sz w:val="21"/>
                      <w:szCs w:val="21"/>
                    </w:rPr>
                    <w:t>、</w:t>
                  </w:r>
                  <w:r>
                    <w:rPr>
                      <w:sz w:val="21"/>
                      <w:szCs w:val="21"/>
                    </w:rPr>
                    <w:t>危险废物暂存间</w:t>
                  </w:r>
                  <w:r>
                    <w:rPr>
                      <w:rFonts w:hint="eastAsia"/>
                      <w:sz w:val="21"/>
                      <w:szCs w:val="21"/>
                    </w:rPr>
                    <w:t>等</w:t>
                  </w:r>
                  <w:r>
                    <w:rPr>
                      <w:sz w:val="21"/>
                      <w:szCs w:val="21"/>
                    </w:rPr>
                    <w:t>做防渗处理</w:t>
                  </w:r>
                </w:p>
              </w:tc>
              <w:tc>
                <w:tcPr>
                  <w:tcW w:w="1009" w:type="dxa"/>
                  <w:vMerge w:val="continue"/>
                  <w:vAlign w:val="center"/>
                </w:tcPr>
                <w:p>
                  <w:pPr>
                    <w:widowControl w:val="0"/>
                    <w:adjustRightInd/>
                    <w:snapToGrid/>
                    <w:spacing w:line="240" w:lineRule="auto"/>
                    <w:ind w:firstLine="0" w:firstLineChars="0"/>
                    <w:jc w:val="center"/>
                    <w:rPr>
                      <w:sz w:val="21"/>
                      <w:szCs w:val="21"/>
                    </w:rPr>
                  </w:pPr>
                </w:p>
              </w:tc>
              <w:tc>
                <w:tcPr>
                  <w:tcW w:w="1513" w:type="dxa"/>
                  <w:vMerge w:val="continue"/>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dxa"/>
                  <w:vAlign w:val="center"/>
                </w:tcPr>
                <w:p>
                  <w:pPr>
                    <w:pStyle w:val="27"/>
                  </w:pPr>
                  <w:r>
                    <w:t>合计</w:t>
                  </w:r>
                </w:p>
              </w:tc>
              <w:tc>
                <w:tcPr>
                  <w:tcW w:w="4332" w:type="dxa"/>
                  <w:vAlign w:val="center"/>
                </w:tcPr>
                <w:p>
                  <w:pPr>
                    <w:widowControl w:val="0"/>
                    <w:adjustRightInd/>
                    <w:snapToGrid/>
                    <w:spacing w:line="240" w:lineRule="auto"/>
                    <w:ind w:firstLine="0" w:firstLineChars="0"/>
                    <w:jc w:val="center"/>
                    <w:rPr>
                      <w:sz w:val="21"/>
                      <w:szCs w:val="21"/>
                    </w:rPr>
                  </w:pPr>
                  <w:r>
                    <w:rPr>
                      <w:sz w:val="21"/>
                      <w:szCs w:val="21"/>
                    </w:rPr>
                    <w:t>/</w:t>
                  </w:r>
                </w:p>
              </w:tc>
              <w:tc>
                <w:tcPr>
                  <w:tcW w:w="1009" w:type="dxa"/>
                  <w:vAlign w:val="center"/>
                </w:tcPr>
                <w:p>
                  <w:pPr>
                    <w:widowControl w:val="0"/>
                    <w:adjustRightInd/>
                    <w:snapToGrid/>
                    <w:spacing w:line="240" w:lineRule="auto"/>
                    <w:ind w:firstLine="0" w:firstLineChars="0"/>
                    <w:jc w:val="center"/>
                    <w:rPr>
                      <w:sz w:val="21"/>
                      <w:szCs w:val="21"/>
                    </w:rPr>
                  </w:pPr>
                  <w:r>
                    <w:rPr>
                      <w:rFonts w:hint="eastAsia"/>
                      <w:sz w:val="21"/>
                      <w:szCs w:val="21"/>
                    </w:rPr>
                    <w:t>4</w:t>
                  </w:r>
                  <w:r>
                    <w:rPr>
                      <w:sz w:val="21"/>
                      <w:szCs w:val="21"/>
                    </w:rPr>
                    <w:t>5</w:t>
                  </w:r>
                </w:p>
              </w:tc>
              <w:tc>
                <w:tcPr>
                  <w:tcW w:w="1513" w:type="dxa"/>
                  <w:vAlign w:val="center"/>
                </w:tcPr>
                <w:p>
                  <w:pPr>
                    <w:pStyle w:val="27"/>
                    <w:rPr>
                      <w:color w:val="FF0000"/>
                    </w:rPr>
                  </w:pPr>
                  <w:r>
                    <w:t>63</w:t>
                  </w:r>
                </w:p>
              </w:tc>
            </w:tr>
          </w:tbl>
          <w:p>
            <w:pPr>
              <w:pStyle w:val="5"/>
              <w:widowControl w:val="0"/>
              <w:jc w:val="both"/>
              <w:outlineLvl w:val="2"/>
              <w:rPr>
                <w:color w:val="000000" w:themeColor="text1"/>
                <w:szCs w:val="24"/>
                <w14:textFill>
                  <w14:solidFill>
                    <w14:schemeClr w14:val="tx1"/>
                  </w14:solidFill>
                </w14:textFill>
              </w:rPr>
            </w:pPr>
            <w:r>
              <w:rPr>
                <w:color w:val="000000" w:themeColor="text1"/>
                <w:szCs w:val="24"/>
                <w14:textFill>
                  <w14:solidFill>
                    <w14:schemeClr w14:val="tx1"/>
                  </w14:solidFill>
                </w14:textFill>
              </w:rPr>
              <w:t>“三同时”落实情况</w:t>
            </w:r>
          </w:p>
          <w:p>
            <w:pPr>
              <w:widowControl w:val="0"/>
              <w:ind w:firstLine="482"/>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表3-10 “三同时”落实情况一览表</w:t>
            </w:r>
          </w:p>
          <w:tbl>
            <w:tblPr>
              <w:tblStyle w:val="22"/>
              <w:tblW w:w="83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74"/>
              <w:gridCol w:w="660"/>
              <w:gridCol w:w="1101"/>
              <w:gridCol w:w="2000"/>
              <w:gridCol w:w="2030"/>
              <w:gridCol w:w="19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jc w:val="center"/>
              </w:trPr>
              <w:tc>
                <w:tcPr>
                  <w:tcW w:w="574"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序号</w:t>
                  </w:r>
                </w:p>
              </w:tc>
              <w:tc>
                <w:tcPr>
                  <w:tcW w:w="66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类别</w:t>
                  </w:r>
                </w:p>
              </w:tc>
              <w:tc>
                <w:tcPr>
                  <w:tcW w:w="1101"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治理对象</w:t>
                  </w:r>
                </w:p>
              </w:tc>
              <w:tc>
                <w:tcPr>
                  <w:tcW w:w="200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治理方案</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预期效果</w:t>
                  </w:r>
                </w:p>
              </w:tc>
              <w:tc>
                <w:tcPr>
                  <w:tcW w:w="1955"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实际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574"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c>
                <w:tcPr>
                  <w:tcW w:w="66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rPr>
                    <w:t>废水治理措施</w:t>
                  </w:r>
                </w:p>
              </w:tc>
              <w:tc>
                <w:tcPr>
                  <w:tcW w:w="1101" w:type="dxa"/>
                  <w:vAlign w:val="center"/>
                </w:tcPr>
                <w:p>
                  <w:pPr>
                    <w:spacing w:line="240" w:lineRule="auto"/>
                    <w:ind w:right="-108"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rPr>
                    <w:t>生活污水</w:t>
                  </w:r>
                </w:p>
              </w:tc>
              <w:tc>
                <w:tcPr>
                  <w:tcW w:w="200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rPr>
                    <w:t>化粪池处理</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达到GB8978-96《污水综合排放标准》表4一级标准</w:t>
                  </w:r>
                </w:p>
              </w:tc>
              <w:tc>
                <w:tcPr>
                  <w:tcW w:w="1955"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项目的冲洗废水和生活污水经隔油池处理，再经生活污水处理装置处理，尾水经吸粪车抽出，委托新民污水处理厂处理。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28" w:hRule="atLeast"/>
                <w:jc w:val="center"/>
              </w:trPr>
              <w:tc>
                <w:tcPr>
                  <w:tcW w:w="574"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w:t>
                  </w:r>
                </w:p>
              </w:tc>
              <w:tc>
                <w:tcPr>
                  <w:tcW w:w="66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rPr>
                    <w:t>噪声防治措施</w:t>
                  </w:r>
                </w:p>
              </w:tc>
              <w:tc>
                <w:tcPr>
                  <w:tcW w:w="1101" w:type="dxa"/>
                  <w:vAlign w:val="center"/>
                </w:tcPr>
                <w:p>
                  <w:pPr>
                    <w:spacing w:line="240" w:lineRule="auto"/>
                    <w:ind w:right="-108"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rPr>
                    <w:t>运转设备</w:t>
                  </w:r>
                </w:p>
              </w:tc>
              <w:tc>
                <w:tcPr>
                  <w:tcW w:w="200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kern w:val="2"/>
                      <w:sz w:val="21"/>
                      <w:szCs w:val="21"/>
                      <w:lang w:bidi="ar"/>
                    </w:rPr>
                    <w:t>安装减振基础和消声器等、</w:t>
                  </w:r>
                  <w:r>
                    <w:rPr>
                      <w:rFonts w:hint="eastAsia" w:asciiTheme="minorEastAsia" w:hAnsiTheme="minorEastAsia" w:eastAsiaTheme="minorEastAsia" w:cstheme="minorEastAsia"/>
                      <w:color w:val="000000"/>
                      <w:sz w:val="21"/>
                      <w:szCs w:val="21"/>
                    </w:rPr>
                    <w:t>隔声、距离衰减、减震等</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厂界噪声达到《工业企业厂界环境噪声排放标准》（GB 12348-2008）中的3类标准；</w:t>
                  </w:r>
                </w:p>
              </w:tc>
              <w:tc>
                <w:tcPr>
                  <w:tcW w:w="1955"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各产生振动设备加装减振底座，隔声、距离衰减。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23" w:hRule="atLeast"/>
                <w:jc w:val="center"/>
              </w:trPr>
              <w:tc>
                <w:tcPr>
                  <w:tcW w:w="574" w:type="dxa"/>
                  <w:vMerge w:val="restart"/>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w:t>
                  </w:r>
                </w:p>
              </w:tc>
              <w:tc>
                <w:tcPr>
                  <w:tcW w:w="660" w:type="dxa"/>
                  <w:vMerge w:val="restart"/>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rPr>
                    <w:t>大气污染物治理措施</w:t>
                  </w:r>
                </w:p>
              </w:tc>
              <w:tc>
                <w:tcPr>
                  <w:tcW w:w="1101" w:type="dxa"/>
                  <w:vAlign w:val="center"/>
                </w:tcPr>
                <w:p>
                  <w:pPr>
                    <w:spacing w:line="240" w:lineRule="auto"/>
                    <w:ind w:right="-108"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LNG储罐闪蒸气</w:t>
                  </w:r>
                </w:p>
              </w:tc>
              <w:tc>
                <w:tcPr>
                  <w:tcW w:w="2000" w:type="dxa"/>
                  <w:vAlign w:val="center"/>
                </w:tcPr>
                <w:p>
                  <w:pPr>
                    <w:spacing w:line="240" w:lineRule="auto"/>
                    <w:ind w:firstLine="0" w:firstLineChars="0"/>
                    <w:jc w:val="center"/>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加气区设置拉断阀、自密封阀等；LNG储罐、加气系统设置BOG气体回收装置。</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厂区内无组织挥发性有机物执行《挥发性有机物无组织排放控制标准》（GB37822-2019）</w:t>
                  </w:r>
                </w:p>
              </w:tc>
              <w:tc>
                <w:tcPr>
                  <w:tcW w:w="1955"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加气区设置拉断阀、自密封阀等；LNG储罐、加气系统设置BOG气体回收装置。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23" w:hRule="atLeast"/>
                <w:jc w:val="center"/>
              </w:trPr>
              <w:tc>
                <w:tcPr>
                  <w:tcW w:w="574" w:type="dxa"/>
                  <w:vMerge w:val="continue"/>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c>
                <w:tcPr>
                  <w:tcW w:w="660" w:type="dxa"/>
                  <w:vMerge w:val="continue"/>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p>
              </w:tc>
              <w:tc>
                <w:tcPr>
                  <w:tcW w:w="1101" w:type="dxa"/>
                  <w:vAlign w:val="center"/>
                </w:tcPr>
                <w:p>
                  <w:pPr>
                    <w:spacing w:line="240" w:lineRule="auto"/>
                    <w:ind w:right="-108"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卸油、加油产生的废气</w:t>
                  </w:r>
                </w:p>
              </w:tc>
              <w:tc>
                <w:tcPr>
                  <w:tcW w:w="2000" w:type="dxa"/>
                  <w:vAlign w:val="center"/>
                </w:tcPr>
                <w:p>
                  <w:pPr>
                    <w:spacing w:line="240" w:lineRule="auto"/>
                    <w:ind w:firstLine="0" w:firstLineChars="0"/>
                    <w:jc w:val="center"/>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kern w:val="2"/>
                      <w:sz w:val="21"/>
                      <w:szCs w:val="21"/>
                      <w:lang w:bidi="ar"/>
                    </w:rPr>
                    <w:t>油气回收系统</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hAnsi="宋体"/>
                      <w:bCs/>
                      <w:kern w:val="2"/>
                      <w:sz w:val="21"/>
                      <w:szCs w:val="21"/>
                      <w:lang w:bidi="ar"/>
                    </w:rPr>
                    <w:t>达到《加油站大气污染物排放标准》（</w:t>
                  </w:r>
                  <w:r>
                    <w:rPr>
                      <w:rFonts w:hAnsi="宋体"/>
                      <w:bCs/>
                      <w:kern w:val="2"/>
                      <w:sz w:val="21"/>
                      <w:szCs w:val="21"/>
                      <w:lang w:bidi="ar"/>
                    </w:rPr>
                    <w:t>GB20592-2007</w:t>
                  </w:r>
                  <w:r>
                    <w:rPr>
                      <w:rFonts w:hint="eastAsia" w:hAnsi="宋体"/>
                      <w:bCs/>
                      <w:kern w:val="2"/>
                      <w:sz w:val="21"/>
                      <w:szCs w:val="21"/>
                      <w:lang w:bidi="ar"/>
                    </w:rPr>
                    <w:t>）中油气排放</w:t>
                  </w:r>
                  <w:r>
                    <w:rPr>
                      <w:rFonts w:hint="eastAsia"/>
                      <w:color w:val="000000"/>
                      <w:kern w:val="2"/>
                      <w:sz w:val="21"/>
                      <w:szCs w:val="21"/>
                      <w:lang w:bidi="ar"/>
                    </w:rPr>
                    <w:t>浓度限值要求</w:t>
                  </w:r>
                  <w:r>
                    <w:rPr>
                      <w:rFonts w:hint="eastAsia"/>
                      <w:kern w:val="2"/>
                      <w:sz w:val="21"/>
                      <w:szCs w:val="20"/>
                      <w:lang w:bidi="ar"/>
                    </w:rPr>
                    <w:t>。</w:t>
                  </w:r>
                </w:p>
              </w:tc>
              <w:tc>
                <w:tcPr>
                  <w:tcW w:w="1955" w:type="dxa"/>
                  <w:vAlign w:val="center"/>
                </w:tcPr>
                <w:p>
                  <w:pPr>
                    <w:spacing w:line="240" w:lineRule="auto"/>
                    <w:ind w:firstLine="0" w:firstLineChars="0"/>
                    <w:jc w:val="center"/>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kern w:val="2"/>
                      <w:sz w:val="21"/>
                      <w:szCs w:val="20"/>
                      <w:lang w:bidi="ar"/>
                    </w:rPr>
                    <w:t>安装密闭油气回收系统对加油站卸油、储油和加油时挥发的有机废气进行回收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6" w:hRule="atLeast"/>
                <w:jc w:val="center"/>
              </w:trPr>
              <w:tc>
                <w:tcPr>
                  <w:tcW w:w="574" w:type="dxa"/>
                  <w:vMerge w:val="restart"/>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660" w:type="dxa"/>
                  <w:vMerge w:val="restart"/>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固废防治措施</w:t>
                  </w:r>
                </w:p>
              </w:tc>
              <w:tc>
                <w:tcPr>
                  <w:tcW w:w="1101" w:type="dxa"/>
                  <w:vAlign w:val="center"/>
                </w:tcPr>
                <w:p>
                  <w:pPr>
                    <w:spacing w:line="240" w:lineRule="auto"/>
                    <w:ind w:right="-108" w:firstLine="0" w:firstLineChars="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生活垃圾</w:t>
                  </w:r>
                </w:p>
              </w:tc>
              <w:tc>
                <w:tcPr>
                  <w:tcW w:w="2000" w:type="dxa"/>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职工生活垃圾集中收集后，交由环卫部门统一清运处理。</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c>
                <w:tcPr>
                  <w:tcW w:w="1955" w:type="dxa"/>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6" w:hRule="atLeast"/>
                <w:jc w:val="center"/>
              </w:trPr>
              <w:tc>
                <w:tcPr>
                  <w:tcW w:w="574" w:type="dxa"/>
                  <w:vMerge w:val="continue"/>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c>
                <w:tcPr>
                  <w:tcW w:w="660" w:type="dxa"/>
                  <w:vMerge w:val="continue"/>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p>
              </w:tc>
              <w:tc>
                <w:tcPr>
                  <w:tcW w:w="1101" w:type="dxa"/>
                  <w:vAlign w:val="center"/>
                </w:tcPr>
                <w:p>
                  <w:pPr>
                    <w:spacing w:line="240" w:lineRule="auto"/>
                    <w:ind w:right="-108" w:firstLine="0" w:firstLineChars="0"/>
                    <w:jc w:val="center"/>
                    <w:rPr>
                      <w:rFonts w:asciiTheme="minorEastAsia" w:hAnsiTheme="minorEastAsia" w:eastAsiaTheme="minorEastAsia" w:cstheme="minorEastAsia"/>
                      <w:color w:val="000000"/>
                      <w:sz w:val="21"/>
                      <w:szCs w:val="21"/>
                    </w:rPr>
                  </w:pPr>
                  <w:r>
                    <w:rPr>
                      <w:rFonts w:hint="eastAsia"/>
                      <w:sz w:val="21"/>
                      <w:szCs w:val="21"/>
                    </w:rPr>
                    <w:t>废油及油泥、废弃含油石沙、棉布：</w:t>
                  </w:r>
                </w:p>
              </w:tc>
              <w:tc>
                <w:tcPr>
                  <w:tcW w:w="2000" w:type="dxa"/>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r>
                    <w:rPr>
                      <w:rFonts w:hint="eastAsia" w:ascii="宋体" w:hAnsi="宋体"/>
                      <w:kern w:val="2"/>
                      <w:sz w:val="21"/>
                      <w:szCs w:val="21"/>
                      <w:lang w:bidi="ar"/>
                    </w:rPr>
                    <w:t>设置险废物暂存间，收集后送有资质的公司处置</w:t>
                  </w:r>
                </w:p>
              </w:tc>
              <w:tc>
                <w:tcPr>
                  <w:tcW w:w="2030" w:type="dxa"/>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宋体" w:hAnsi="宋体"/>
                      <w:kern w:val="2"/>
                      <w:sz w:val="21"/>
                      <w:szCs w:val="21"/>
                      <w:lang w:bidi="ar"/>
                    </w:rPr>
                    <w:t>资源化、无害化</w:t>
                  </w:r>
                </w:p>
              </w:tc>
              <w:tc>
                <w:tcPr>
                  <w:tcW w:w="1955" w:type="dxa"/>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r>
                    <w:rPr>
                      <w:rFonts w:hint="eastAsia" w:ascii="宋体" w:hAnsi="宋体"/>
                      <w:kern w:val="2"/>
                      <w:sz w:val="21"/>
                      <w:szCs w:val="21"/>
                      <w:lang w:bidi="ar"/>
                    </w:rPr>
                    <w:t>设置险废物暂存间，收集后送有资质的公司处置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6" w:hRule="atLeast"/>
                <w:jc w:val="center"/>
              </w:trPr>
              <w:tc>
                <w:tcPr>
                  <w:tcW w:w="574" w:type="dxa"/>
                  <w:vMerge w:val="restart"/>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w:t>
                  </w:r>
                </w:p>
              </w:tc>
              <w:tc>
                <w:tcPr>
                  <w:tcW w:w="660" w:type="dxa"/>
                  <w:vMerge w:val="restart"/>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环境风险</w:t>
                  </w:r>
                </w:p>
              </w:tc>
              <w:tc>
                <w:tcPr>
                  <w:tcW w:w="1101" w:type="dxa"/>
                  <w:vAlign w:val="center"/>
                </w:tcPr>
                <w:p>
                  <w:pPr>
                    <w:widowControl w:val="0"/>
                    <w:spacing w:line="240" w:lineRule="auto"/>
                    <w:ind w:firstLine="0" w:firstLineChars="0"/>
                    <w:jc w:val="both"/>
                    <w:rPr>
                      <w:sz w:val="21"/>
                      <w:szCs w:val="21"/>
                    </w:rPr>
                  </w:pPr>
                  <w:r>
                    <w:rPr>
                      <w:rFonts w:hint="eastAsia" w:cs="宋体"/>
                      <w:sz w:val="21"/>
                      <w:szCs w:val="21"/>
                      <w:lang w:bidi="ar"/>
                    </w:rPr>
                    <w:t>油品泄露、火灾、爆炸</w:t>
                  </w:r>
                </w:p>
              </w:tc>
              <w:tc>
                <w:tcPr>
                  <w:tcW w:w="2000" w:type="dxa"/>
                  <w:vAlign w:val="center"/>
                </w:tcPr>
                <w:p>
                  <w:pPr>
                    <w:widowControl w:val="0"/>
                    <w:spacing w:line="240" w:lineRule="auto"/>
                    <w:ind w:firstLine="0" w:firstLineChars="0"/>
                    <w:jc w:val="both"/>
                    <w:rPr>
                      <w:rFonts w:ascii="宋体" w:hAnsi="宋体"/>
                      <w:kern w:val="2"/>
                      <w:sz w:val="21"/>
                      <w:szCs w:val="21"/>
                      <w:lang w:bidi="ar"/>
                    </w:rPr>
                  </w:pPr>
                  <w:r>
                    <w:rPr>
                      <w:rFonts w:hint="eastAsia" w:ascii="宋体" w:hAnsi="宋体" w:cs="宋体"/>
                      <w:kern w:val="2"/>
                      <w:sz w:val="22"/>
                      <w:szCs w:val="20"/>
                      <w:lang w:bidi="ar"/>
                    </w:rPr>
                    <w:t>采用双层防火防爆油罐，配套漏油事故池、沙池、灭火器等。站内设禁止吸烟、禁止打手机的警示牌，加强设备管道维护</w:t>
                  </w:r>
                </w:p>
              </w:tc>
              <w:tc>
                <w:tcPr>
                  <w:tcW w:w="2030" w:type="dxa"/>
                  <w:vMerge w:val="restart"/>
                  <w:vAlign w:val="center"/>
                </w:tcPr>
                <w:p>
                  <w:pPr>
                    <w:spacing w:line="240" w:lineRule="auto"/>
                    <w:ind w:firstLine="0" w:firstLineChars="0"/>
                    <w:jc w:val="center"/>
                    <w:rPr>
                      <w:rFonts w:ascii="宋体" w:hAnsi="宋体"/>
                      <w:kern w:val="2"/>
                      <w:sz w:val="21"/>
                      <w:szCs w:val="21"/>
                      <w:lang w:bidi="ar"/>
                    </w:rPr>
                  </w:pPr>
                  <w:r>
                    <w:rPr>
                      <w:rFonts w:hint="eastAsia" w:ascii="宋体" w:hAnsi="宋体"/>
                      <w:kern w:val="2"/>
                      <w:sz w:val="22"/>
                      <w:szCs w:val="20"/>
                      <w:lang w:bidi="ar"/>
                    </w:rPr>
                    <w:t>尽可能减小环境风险影响范围和影响程度</w:t>
                  </w:r>
                </w:p>
              </w:tc>
              <w:tc>
                <w:tcPr>
                  <w:tcW w:w="1955" w:type="dxa"/>
                  <w:vAlign w:val="center"/>
                </w:tcPr>
                <w:p>
                  <w:pPr>
                    <w:spacing w:line="240" w:lineRule="auto"/>
                    <w:ind w:firstLine="0" w:firstLineChars="0"/>
                    <w:jc w:val="center"/>
                    <w:rPr>
                      <w:rFonts w:ascii="宋体" w:hAnsi="宋体"/>
                      <w:kern w:val="2"/>
                      <w:sz w:val="21"/>
                      <w:szCs w:val="21"/>
                      <w:lang w:bidi="ar"/>
                    </w:rPr>
                  </w:pPr>
                  <w:r>
                    <w:rPr>
                      <w:rFonts w:hint="eastAsia" w:ascii="宋体" w:hAnsi="宋体"/>
                      <w:kern w:val="2"/>
                      <w:sz w:val="21"/>
                      <w:szCs w:val="21"/>
                      <w:lang w:bidi="ar"/>
                    </w:rPr>
                    <w:t>采用双层罐体、配备事故池、沙驰、灭火器；站内设置相应的警示标志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6" w:hRule="atLeast"/>
                <w:jc w:val="center"/>
              </w:trPr>
              <w:tc>
                <w:tcPr>
                  <w:tcW w:w="574" w:type="dxa"/>
                  <w:vMerge w:val="continue"/>
                  <w:vAlign w:val="center"/>
                </w:tcPr>
                <w:p>
                  <w:pPr>
                    <w:spacing w:line="240" w:lineRule="auto"/>
                    <w:ind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c>
                <w:tcPr>
                  <w:tcW w:w="660" w:type="dxa"/>
                  <w:vMerge w:val="continue"/>
                  <w:vAlign w:val="center"/>
                </w:tcPr>
                <w:p>
                  <w:pPr>
                    <w:spacing w:line="240" w:lineRule="auto"/>
                    <w:ind w:firstLine="0" w:firstLineChars="0"/>
                    <w:jc w:val="center"/>
                    <w:rPr>
                      <w:rFonts w:asciiTheme="minorEastAsia" w:hAnsiTheme="minorEastAsia" w:eastAsiaTheme="minorEastAsia" w:cstheme="minorEastAsia"/>
                      <w:color w:val="000000"/>
                      <w:sz w:val="21"/>
                      <w:szCs w:val="21"/>
                    </w:rPr>
                  </w:pPr>
                </w:p>
              </w:tc>
              <w:tc>
                <w:tcPr>
                  <w:tcW w:w="1101" w:type="dxa"/>
                  <w:vAlign w:val="center"/>
                </w:tcPr>
                <w:p>
                  <w:pPr>
                    <w:widowControl w:val="0"/>
                    <w:spacing w:line="240" w:lineRule="auto"/>
                    <w:ind w:firstLine="0" w:firstLineChars="0"/>
                    <w:jc w:val="both"/>
                    <w:rPr>
                      <w:sz w:val="21"/>
                      <w:szCs w:val="21"/>
                    </w:rPr>
                  </w:pPr>
                  <w:r>
                    <w:rPr>
                      <w:rFonts w:hint="eastAsia" w:cs="宋体"/>
                      <w:kern w:val="2"/>
                      <w:sz w:val="21"/>
                      <w:szCs w:val="21"/>
                      <w:lang w:bidi="ar"/>
                    </w:rPr>
                    <w:t>防渗措施</w:t>
                  </w:r>
                </w:p>
              </w:tc>
              <w:tc>
                <w:tcPr>
                  <w:tcW w:w="2000" w:type="dxa"/>
                  <w:vAlign w:val="center"/>
                </w:tcPr>
                <w:p>
                  <w:pPr>
                    <w:widowControl w:val="0"/>
                    <w:spacing w:line="240" w:lineRule="auto"/>
                    <w:ind w:firstLine="0" w:firstLineChars="0"/>
                    <w:jc w:val="both"/>
                    <w:rPr>
                      <w:rFonts w:ascii="宋体" w:hAnsi="宋体"/>
                      <w:kern w:val="2"/>
                      <w:sz w:val="21"/>
                      <w:szCs w:val="21"/>
                      <w:lang w:bidi="ar"/>
                    </w:rPr>
                  </w:pPr>
                  <w:r>
                    <w:rPr>
                      <w:rFonts w:hint="eastAsia" w:cs="宋体"/>
                      <w:kern w:val="2"/>
                      <w:sz w:val="21"/>
                      <w:szCs w:val="20"/>
                      <w:lang w:bidi="ar"/>
                    </w:rPr>
                    <w:t>对储油罐区（含卸油区）、加油区、隔油池、化粪池、危险废物暂存间等</w:t>
                  </w:r>
                  <w:r>
                    <w:rPr>
                      <w:rFonts w:hint="eastAsia" w:cs="宋体"/>
                      <w:kern w:val="2"/>
                      <w:sz w:val="21"/>
                      <w:szCs w:val="21"/>
                      <w:lang w:bidi="ar"/>
                    </w:rPr>
                    <w:t>做防渗处理</w:t>
                  </w:r>
                </w:p>
              </w:tc>
              <w:tc>
                <w:tcPr>
                  <w:tcW w:w="2030" w:type="dxa"/>
                  <w:vMerge w:val="continue"/>
                  <w:vAlign w:val="center"/>
                </w:tcPr>
                <w:p>
                  <w:pPr>
                    <w:spacing w:line="240" w:lineRule="auto"/>
                    <w:ind w:firstLine="0" w:firstLineChars="0"/>
                    <w:jc w:val="center"/>
                    <w:rPr>
                      <w:rFonts w:ascii="宋体" w:hAnsi="宋体"/>
                      <w:kern w:val="2"/>
                      <w:sz w:val="21"/>
                      <w:szCs w:val="21"/>
                      <w:lang w:bidi="ar"/>
                    </w:rPr>
                  </w:pPr>
                </w:p>
              </w:tc>
              <w:tc>
                <w:tcPr>
                  <w:tcW w:w="1955" w:type="dxa"/>
                  <w:vAlign w:val="center"/>
                </w:tcPr>
                <w:p>
                  <w:pPr>
                    <w:spacing w:line="240" w:lineRule="auto"/>
                    <w:ind w:firstLine="0" w:firstLineChars="0"/>
                    <w:jc w:val="center"/>
                    <w:rPr>
                      <w:rFonts w:ascii="宋体" w:hAnsi="宋体"/>
                      <w:kern w:val="2"/>
                      <w:sz w:val="21"/>
                      <w:szCs w:val="21"/>
                      <w:lang w:bidi="ar"/>
                    </w:rPr>
                  </w:pPr>
                  <w:r>
                    <w:rPr>
                      <w:rFonts w:hint="eastAsia" w:ascii="宋体" w:hAnsi="宋体"/>
                      <w:kern w:val="2"/>
                      <w:sz w:val="21"/>
                      <w:szCs w:val="21"/>
                      <w:lang w:bidi="ar"/>
                    </w:rPr>
                    <w:t>对储罐区、加油区、隔油池等地面做防渗处理</w:t>
                  </w:r>
                </w:p>
              </w:tc>
            </w:tr>
          </w:tbl>
          <w:p>
            <w:pPr>
              <w:pStyle w:val="27"/>
              <w:widowControl w:val="0"/>
              <w:jc w:val="left"/>
            </w:pPr>
          </w:p>
        </w:tc>
      </w:tr>
    </w:tbl>
    <w:p>
      <w:pPr>
        <w:ind w:firstLine="0" w:firstLineChars="0"/>
        <w:rPr>
          <w:rFonts w:eastAsia="仿宋_GB2312"/>
          <w:b/>
          <w:color w:val="000000"/>
          <w:sz w:val="21"/>
          <w:szCs w:val="21"/>
        </w:rPr>
        <w:sectPr>
          <w:footerReference r:id="rId10" w:type="default"/>
          <w:pgSz w:w="11906" w:h="16838"/>
          <w:pgMar w:top="1440" w:right="1800" w:bottom="1440" w:left="1800" w:header="708" w:footer="708" w:gutter="0"/>
          <w:pgNumType w:fmt="numberInDash"/>
          <w:cols w:space="720" w:num="1"/>
          <w:docGrid w:linePitch="360" w:charSpace="0"/>
        </w:sectPr>
      </w:pPr>
    </w:p>
    <w:p>
      <w:pPr>
        <w:ind w:firstLine="422"/>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四</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2" w:hRule="atLeast"/>
        </w:trPr>
        <w:tc>
          <w:tcPr>
            <w:tcW w:w="8522" w:type="dxa"/>
          </w:tcPr>
          <w:p>
            <w:pPr>
              <w:widowControl w:val="0"/>
              <w:spacing w:before="62"/>
              <w:ind w:firstLine="0" w:firstLineChars="0"/>
              <w:jc w:val="both"/>
              <w:rPr>
                <w:color w:val="000000"/>
              </w:rPr>
            </w:pPr>
            <w:r>
              <w:rPr>
                <w:color w:val="000000"/>
              </w:rPr>
              <w:t>建设项目环境影响</w:t>
            </w:r>
            <w:r>
              <w:rPr>
                <w:rFonts w:hint="eastAsia"/>
                <w:color w:val="000000"/>
              </w:rPr>
              <w:t>评价报告表</w:t>
            </w:r>
            <w:r>
              <w:rPr>
                <w:color w:val="000000"/>
              </w:rPr>
              <w:t>主要结论及审批部门审批决定：</w:t>
            </w:r>
          </w:p>
          <w:p>
            <w:pPr>
              <w:pStyle w:val="19"/>
              <w:widowControl w:val="0"/>
              <w:spacing w:before="0" w:beforeAutospacing="0" w:after="0" w:afterAutospacing="0"/>
              <w:ind w:left="120" w:leftChars="50" w:right="120" w:rightChars="50" w:firstLine="480"/>
              <w:jc w:val="both"/>
              <w:rPr>
                <w:rFonts w:ascii="Times New Roman" w:hAnsi="Times New Roman"/>
                <w:szCs w:val="21"/>
              </w:rPr>
            </w:pPr>
            <w:r>
              <w:rPr>
                <w:rFonts w:hint="eastAsia" w:hAnsi="Times New Roman"/>
                <w:kern w:val="2"/>
                <w:lang w:bidi="ar"/>
              </w:rPr>
              <w:t>本项目为新建项目，</w:t>
            </w:r>
            <w:r>
              <w:rPr>
                <w:rFonts w:hint="eastAsia" w:ascii="Times New Roman" w:hAnsi="Times New Roman"/>
                <w:kern w:val="2"/>
                <w:szCs w:val="20"/>
                <w:lang w:bidi="ar"/>
              </w:rPr>
              <w:t>本项目位于</w:t>
            </w:r>
            <w:r>
              <w:rPr>
                <w:rFonts w:hint="eastAsia" w:ascii="Times New Roman" w:hAnsi="Times New Roman"/>
                <w:kern w:val="2"/>
                <w:lang w:bidi="ar"/>
              </w:rPr>
              <w:t>铜陵市郊区长江村</w:t>
            </w:r>
            <w:r>
              <w:rPr>
                <w:rFonts w:hint="eastAsia" w:ascii="Times New Roman" w:hAnsi="Times New Roman"/>
                <w:kern w:val="2"/>
                <w:szCs w:val="20"/>
                <w:lang w:bidi="ar"/>
              </w:rPr>
              <w:t>铜官大道东侧、横港物流园北侧</w:t>
            </w:r>
            <w:r>
              <w:rPr>
                <w:rFonts w:hint="eastAsia" w:ascii="Times New Roman" w:hAnsi="Times New Roman"/>
                <w:szCs w:val="21"/>
                <w:lang w:bidi="ar"/>
              </w:rPr>
              <w:t>，公司投资</w:t>
            </w:r>
            <w:r>
              <w:rPr>
                <w:rFonts w:ascii="Times New Roman" w:hAnsi="Times New Roman"/>
                <w:szCs w:val="21"/>
                <w:lang w:bidi="ar"/>
              </w:rPr>
              <w:t>3000</w:t>
            </w:r>
            <w:r>
              <w:rPr>
                <w:rFonts w:hint="eastAsia" w:ascii="Times New Roman" w:hAnsi="Times New Roman"/>
                <w:szCs w:val="21"/>
                <w:lang w:bidi="ar"/>
              </w:rPr>
              <w:t>万元建设的“横港物流园</w:t>
            </w:r>
            <w:r>
              <w:rPr>
                <w:rFonts w:ascii="Times New Roman" w:hAnsi="Times New Roman"/>
                <w:szCs w:val="21"/>
                <w:lang w:bidi="ar"/>
              </w:rPr>
              <w:t>L-CNG</w:t>
            </w:r>
            <w:r>
              <w:rPr>
                <w:rFonts w:hint="eastAsia" w:ascii="Times New Roman" w:hAnsi="Times New Roman"/>
                <w:szCs w:val="21"/>
                <w:lang w:bidi="ar"/>
              </w:rPr>
              <w:t>油气合建站”，经</w:t>
            </w:r>
            <w:r>
              <w:rPr>
                <w:rFonts w:hint="eastAsia" w:ascii="Times New Roman" w:hAnsi="Times New Roman"/>
                <w:kern w:val="2"/>
                <w:lang w:bidi="ar"/>
              </w:rPr>
              <w:t>铜陵市郊区经济发展促进局</w:t>
            </w:r>
            <w:r>
              <w:rPr>
                <w:rFonts w:hint="eastAsia" w:ascii="Times New Roman" w:hAnsi="Times New Roman"/>
                <w:szCs w:val="21"/>
                <w:lang w:bidi="ar"/>
              </w:rPr>
              <w:t>于</w:t>
            </w:r>
            <w:r>
              <w:rPr>
                <w:rFonts w:ascii="Times New Roman" w:hAnsi="Times New Roman"/>
                <w:szCs w:val="21"/>
                <w:lang w:bidi="ar"/>
              </w:rPr>
              <w:t>2017</w:t>
            </w:r>
            <w:r>
              <w:rPr>
                <w:rFonts w:hint="eastAsia" w:ascii="Times New Roman" w:hAnsi="Times New Roman"/>
                <w:szCs w:val="21"/>
                <w:lang w:bidi="ar"/>
              </w:rPr>
              <w:t>年</w:t>
            </w:r>
            <w:r>
              <w:rPr>
                <w:rFonts w:ascii="Times New Roman" w:hAnsi="Times New Roman"/>
                <w:szCs w:val="21"/>
                <w:lang w:bidi="ar"/>
              </w:rPr>
              <w:t>5</w:t>
            </w:r>
            <w:r>
              <w:rPr>
                <w:rFonts w:hint="eastAsia" w:ascii="Times New Roman" w:hAnsi="Times New Roman"/>
                <w:szCs w:val="21"/>
                <w:lang w:bidi="ar"/>
              </w:rPr>
              <w:t>月</w:t>
            </w:r>
            <w:r>
              <w:rPr>
                <w:rFonts w:ascii="Times New Roman" w:hAnsi="Times New Roman"/>
                <w:szCs w:val="21"/>
                <w:lang w:bidi="ar"/>
              </w:rPr>
              <w:t>23</w:t>
            </w:r>
            <w:r>
              <w:rPr>
                <w:rFonts w:hint="eastAsia" w:ascii="Times New Roman" w:hAnsi="Times New Roman"/>
                <w:szCs w:val="21"/>
                <w:lang w:bidi="ar"/>
              </w:rPr>
              <w:t>日备案。</w:t>
            </w:r>
          </w:p>
          <w:p>
            <w:pPr>
              <w:widowControl w:val="0"/>
              <w:ind w:left="-38" w:leftChars="-16" w:right="-60" w:rightChars="-25" w:firstLine="513" w:firstLineChars="213"/>
              <w:jc w:val="both"/>
              <w:rPr>
                <w:rFonts w:hAnsi="宋体"/>
                <w:b/>
              </w:rPr>
            </w:pPr>
            <w:r>
              <w:rPr>
                <w:rFonts w:hAnsi="宋体"/>
                <w:b/>
                <w:kern w:val="2"/>
                <w:lang w:bidi="ar"/>
              </w:rPr>
              <w:t>1</w:t>
            </w:r>
            <w:r>
              <w:rPr>
                <w:rFonts w:hint="eastAsia" w:hAnsi="宋体" w:cs="宋体"/>
                <w:b/>
                <w:kern w:val="2"/>
                <w:lang w:bidi="ar"/>
              </w:rPr>
              <w:t>、产业政策</w:t>
            </w:r>
          </w:p>
          <w:p>
            <w:pPr>
              <w:pStyle w:val="19"/>
              <w:widowControl w:val="0"/>
              <w:spacing w:before="0" w:beforeAutospacing="0" w:after="0" w:afterAutospacing="0"/>
              <w:ind w:firstLine="480"/>
              <w:jc w:val="both"/>
              <w:rPr>
                <w:rFonts w:ascii="Times New Roman" w:hAnsi="Times New Roman"/>
                <w:szCs w:val="20"/>
              </w:rPr>
            </w:pPr>
            <w:r>
              <w:rPr>
                <w:rFonts w:hint="eastAsia" w:ascii="Times New Roman" w:hAnsi="Times New Roman"/>
                <w:color w:val="000000"/>
                <w:kern w:val="2"/>
                <w:szCs w:val="20"/>
                <w:lang w:bidi="ar"/>
              </w:rPr>
              <w:t>本项目主要从事机动车燃料零售，根据</w:t>
            </w:r>
            <w:r>
              <w:rPr>
                <w:rFonts w:hint="eastAsia" w:ascii="Times New Roman" w:hAnsi="Times New Roman"/>
                <w:color w:val="000000"/>
                <w:kern w:val="2"/>
                <w:lang w:bidi="ar"/>
              </w:rPr>
              <w:t>《产业结构调整指导目录（</w:t>
            </w:r>
            <w:r>
              <w:rPr>
                <w:rFonts w:ascii="Times New Roman" w:hAnsi="Times New Roman"/>
                <w:color w:val="000000"/>
                <w:kern w:val="2"/>
                <w:lang w:bidi="ar"/>
              </w:rPr>
              <w:t>2011</w:t>
            </w:r>
            <w:r>
              <w:rPr>
                <w:rFonts w:hint="eastAsia" w:ascii="Times New Roman" w:hAnsi="Times New Roman"/>
                <w:color w:val="000000"/>
                <w:kern w:val="2"/>
                <w:lang w:bidi="ar"/>
              </w:rPr>
              <w:t>年本）》</w:t>
            </w:r>
            <w:r>
              <w:rPr>
                <w:rFonts w:ascii="Times New Roman" w:hAnsi="Times New Roman"/>
                <w:color w:val="000000"/>
                <w:kern w:val="2"/>
                <w:lang w:bidi="ar"/>
              </w:rPr>
              <w:t>2013</w:t>
            </w:r>
            <w:r>
              <w:rPr>
                <w:rFonts w:hint="eastAsia" w:ascii="Times New Roman" w:hAnsi="Times New Roman"/>
                <w:color w:val="000000"/>
                <w:kern w:val="2"/>
                <w:lang w:bidi="ar"/>
              </w:rPr>
              <w:t>年修订版</w:t>
            </w:r>
            <w:r>
              <w:rPr>
                <w:rFonts w:hint="eastAsia" w:ascii="Times New Roman" w:hAnsi="Times New Roman"/>
                <w:color w:val="000000"/>
                <w:kern w:val="2"/>
                <w:szCs w:val="20"/>
                <w:lang w:bidi="ar"/>
              </w:rPr>
              <w:t>，项目不属于</w:t>
            </w:r>
            <w:r>
              <w:rPr>
                <w:rFonts w:ascii="Times New Roman" w:hAnsi="Times New Roman"/>
                <w:color w:val="020202"/>
                <w:kern w:val="2"/>
                <w:szCs w:val="20"/>
                <w:lang w:bidi="ar"/>
              </w:rPr>
              <w:t>“</w:t>
            </w:r>
            <w:r>
              <w:rPr>
                <w:rFonts w:hint="eastAsia" w:ascii="Times New Roman" w:hAnsi="Times New Roman"/>
                <w:color w:val="020202"/>
                <w:kern w:val="2"/>
                <w:szCs w:val="20"/>
                <w:lang w:bidi="ar"/>
              </w:rPr>
              <w:t>限制</w:t>
            </w:r>
            <w:r>
              <w:rPr>
                <w:rFonts w:ascii="Times New Roman" w:hAnsi="Times New Roman"/>
                <w:color w:val="020202"/>
                <w:kern w:val="2"/>
                <w:szCs w:val="20"/>
                <w:lang w:bidi="ar"/>
              </w:rPr>
              <w:t>”</w:t>
            </w:r>
            <w:r>
              <w:rPr>
                <w:rFonts w:hint="eastAsia" w:ascii="Times New Roman" w:hAnsi="Times New Roman"/>
                <w:color w:val="020202"/>
                <w:kern w:val="2"/>
                <w:szCs w:val="20"/>
                <w:lang w:bidi="ar"/>
              </w:rPr>
              <w:t>、</w:t>
            </w:r>
            <w:r>
              <w:rPr>
                <w:rFonts w:ascii="Times New Roman" w:hAnsi="Times New Roman"/>
                <w:color w:val="020202"/>
                <w:kern w:val="2"/>
                <w:szCs w:val="20"/>
                <w:lang w:bidi="ar"/>
              </w:rPr>
              <w:t>“</w:t>
            </w:r>
            <w:r>
              <w:rPr>
                <w:rFonts w:hint="eastAsia" w:ascii="Times New Roman" w:hAnsi="Times New Roman"/>
                <w:color w:val="020202"/>
                <w:kern w:val="2"/>
                <w:szCs w:val="20"/>
                <w:lang w:bidi="ar"/>
              </w:rPr>
              <w:t>淘汰</w:t>
            </w:r>
            <w:r>
              <w:rPr>
                <w:rFonts w:ascii="Times New Roman" w:hAnsi="Times New Roman"/>
                <w:color w:val="020202"/>
                <w:kern w:val="2"/>
                <w:szCs w:val="20"/>
                <w:lang w:bidi="ar"/>
              </w:rPr>
              <w:t>”</w:t>
            </w:r>
            <w:r>
              <w:rPr>
                <w:rFonts w:hint="eastAsia" w:ascii="Times New Roman" w:hAnsi="Times New Roman"/>
                <w:color w:val="020202"/>
                <w:kern w:val="2"/>
                <w:szCs w:val="20"/>
                <w:lang w:bidi="ar"/>
              </w:rPr>
              <w:t>类别，视为允许类项目</w:t>
            </w:r>
            <w:r>
              <w:rPr>
                <w:rFonts w:hint="eastAsia" w:ascii="Times New Roman" w:hAnsi="Times New Roman"/>
                <w:kern w:val="2"/>
                <w:szCs w:val="20"/>
                <w:lang w:bidi="ar"/>
              </w:rPr>
              <w:t>。同时，项目不属于《安徽省工业产业结构调整指导目录（</w:t>
            </w:r>
            <w:r>
              <w:rPr>
                <w:rFonts w:ascii="Times New Roman" w:hAnsi="Times New Roman"/>
                <w:kern w:val="2"/>
                <w:szCs w:val="20"/>
                <w:lang w:bidi="ar"/>
              </w:rPr>
              <w:t xml:space="preserve">2007 </w:t>
            </w:r>
            <w:r>
              <w:rPr>
                <w:rFonts w:hint="eastAsia" w:ascii="Times New Roman" w:hAnsi="Times New Roman"/>
                <w:kern w:val="2"/>
                <w:szCs w:val="20"/>
                <w:lang w:bidi="ar"/>
              </w:rPr>
              <w:t>年本）》中的第二类限制类及第三类淘汰类，可视为允许类。</w:t>
            </w:r>
          </w:p>
          <w:p>
            <w:pPr>
              <w:pStyle w:val="19"/>
              <w:widowControl w:val="0"/>
              <w:spacing w:before="0" w:beforeAutospacing="0" w:after="0" w:afterAutospacing="0"/>
              <w:ind w:left="120" w:leftChars="50" w:right="120" w:rightChars="50" w:firstLine="480"/>
              <w:jc w:val="both"/>
              <w:rPr>
                <w:rFonts w:ascii="Times New Roman" w:hAnsi="Times New Roman"/>
                <w:color w:val="020202"/>
                <w:szCs w:val="20"/>
              </w:rPr>
            </w:pPr>
            <w:r>
              <w:rPr>
                <w:rFonts w:hint="eastAsia" w:ascii="Times New Roman" w:hAnsi="Times New Roman"/>
                <w:color w:val="020202"/>
                <w:kern w:val="2"/>
                <w:szCs w:val="20"/>
                <w:lang w:bidi="ar"/>
              </w:rPr>
              <w:t>因此，本项目的建设符合国家和地方相关产业政策的要求。</w:t>
            </w:r>
          </w:p>
          <w:p>
            <w:pPr>
              <w:widowControl w:val="0"/>
              <w:ind w:left="-38" w:leftChars="-16" w:right="-60" w:rightChars="-25" w:firstLine="513" w:firstLineChars="213"/>
              <w:jc w:val="both"/>
              <w:rPr>
                <w:rFonts w:hAnsi="宋体"/>
                <w:b/>
              </w:rPr>
            </w:pPr>
            <w:r>
              <w:rPr>
                <w:rFonts w:hAnsi="宋体"/>
                <w:b/>
                <w:kern w:val="2"/>
                <w:lang w:bidi="ar"/>
              </w:rPr>
              <w:t>2</w:t>
            </w:r>
            <w:r>
              <w:rPr>
                <w:rFonts w:hint="eastAsia" w:hAnsi="宋体" w:cs="宋体"/>
                <w:b/>
                <w:kern w:val="2"/>
                <w:lang w:bidi="ar"/>
              </w:rPr>
              <w:t>、环境质量状况</w:t>
            </w:r>
          </w:p>
          <w:p>
            <w:pPr>
              <w:widowControl w:val="0"/>
              <w:ind w:firstLine="480"/>
              <w:jc w:val="both"/>
              <w:rPr>
                <w:rFonts w:hAnsi="宋体"/>
              </w:rPr>
            </w:pPr>
            <w:r>
              <w:rPr>
                <w:rFonts w:hint="eastAsia" w:hAnsi="宋体" w:cs="宋体"/>
                <w:kern w:val="2"/>
                <w:lang w:bidi="ar"/>
              </w:rPr>
              <w:t>项目所在地区域环境空气质量符合</w:t>
            </w:r>
            <w:r>
              <w:rPr>
                <w:rFonts w:hAnsi="宋体"/>
                <w:kern w:val="2"/>
                <w:lang w:bidi="ar"/>
              </w:rPr>
              <w:t>GB3095-2012</w:t>
            </w:r>
            <w:r>
              <w:rPr>
                <w:rFonts w:hint="eastAsia" w:hAnsi="宋体" w:cs="宋体"/>
                <w:kern w:val="2"/>
                <w:lang w:bidi="ar"/>
              </w:rPr>
              <w:t>《环境空气质量标准》中的二级标准，区域环境噪声达到</w:t>
            </w:r>
            <w:r>
              <w:rPr>
                <w:rFonts w:hAnsi="宋体"/>
                <w:kern w:val="2"/>
                <w:lang w:bidi="ar"/>
              </w:rPr>
              <w:t>GB3096-2008</w:t>
            </w:r>
            <w:r>
              <w:rPr>
                <w:rFonts w:hint="eastAsia" w:hAnsi="宋体" w:cs="宋体"/>
                <w:kern w:val="2"/>
                <w:lang w:bidi="ar"/>
              </w:rPr>
              <w:t>《声环境质量标准》</w:t>
            </w:r>
            <w:r>
              <w:rPr>
                <w:rFonts w:hAnsi="宋体"/>
                <w:kern w:val="2"/>
                <w:lang w:bidi="ar"/>
              </w:rPr>
              <w:t>2</w:t>
            </w:r>
            <w:r>
              <w:rPr>
                <w:rFonts w:hint="eastAsia" w:hAnsi="宋体" w:cs="宋体"/>
                <w:kern w:val="2"/>
                <w:lang w:bidi="ar"/>
              </w:rPr>
              <w:t>类标准。地表水水质满足</w:t>
            </w:r>
            <w:r>
              <w:rPr>
                <w:rFonts w:hAnsi="宋体"/>
                <w:kern w:val="2"/>
                <w:lang w:bidi="ar"/>
              </w:rPr>
              <w:t>GB3838-2002</w:t>
            </w:r>
            <w:r>
              <w:rPr>
                <w:rFonts w:hint="eastAsia" w:hAnsi="宋体" w:cs="宋体"/>
                <w:kern w:val="2"/>
                <w:lang w:bidi="ar"/>
              </w:rPr>
              <w:t>《地表水环境质量标准》中</w:t>
            </w:r>
            <w:r>
              <w:rPr>
                <w:rFonts w:hint="eastAsia" w:hAnsi="宋体" w:cs="宋体"/>
                <w:bCs/>
                <w:kern w:val="24"/>
                <w:lang w:bidi="ar"/>
              </w:rPr>
              <w:t>Ⅲ</w:t>
            </w:r>
            <w:r>
              <w:rPr>
                <w:rFonts w:hint="eastAsia" w:hAnsi="宋体" w:cs="宋体"/>
                <w:kern w:val="2"/>
                <w:lang w:bidi="ar"/>
              </w:rPr>
              <w:t>类水体功能要求。</w:t>
            </w:r>
          </w:p>
          <w:p>
            <w:pPr>
              <w:widowControl w:val="0"/>
              <w:ind w:left="-38" w:leftChars="-16" w:right="-60" w:rightChars="-25" w:firstLine="513" w:firstLineChars="213"/>
              <w:jc w:val="both"/>
              <w:rPr>
                <w:rFonts w:hAnsi="宋体"/>
                <w:b/>
              </w:rPr>
            </w:pPr>
            <w:r>
              <w:rPr>
                <w:rFonts w:hAnsi="宋体"/>
                <w:b/>
                <w:kern w:val="2"/>
                <w:lang w:bidi="ar"/>
              </w:rPr>
              <w:t>3</w:t>
            </w:r>
            <w:r>
              <w:rPr>
                <w:rFonts w:hint="eastAsia" w:hAnsi="宋体" w:cs="宋体"/>
                <w:b/>
                <w:kern w:val="2"/>
                <w:lang w:bidi="ar"/>
              </w:rPr>
              <w:t>、施工期环境影响分析结论</w:t>
            </w:r>
          </w:p>
          <w:p>
            <w:pPr>
              <w:widowControl w:val="0"/>
              <w:ind w:left="-38" w:leftChars="-16" w:right="-60" w:rightChars="-25" w:firstLine="511" w:firstLineChars="213"/>
              <w:jc w:val="both"/>
              <w:rPr>
                <w:rFonts w:hAnsi="宋体"/>
              </w:rPr>
            </w:pPr>
            <w:r>
              <w:rPr>
                <w:rFonts w:hint="eastAsia" w:hAnsi="宋体" w:cs="宋体"/>
                <w:kern w:val="2"/>
                <w:lang w:bidi="ar"/>
              </w:rPr>
              <w:t>①施工期在施工现场建设沉淀池，收集施工中石料等建材的洗涤所排放的废水，废水经沉淀后，可作为施工用水的一部分重复使用；</w:t>
            </w:r>
          </w:p>
          <w:p>
            <w:pPr>
              <w:widowControl w:val="0"/>
              <w:ind w:left="-38" w:leftChars="-16" w:right="-60" w:rightChars="-25" w:firstLine="511" w:firstLineChars="213"/>
              <w:jc w:val="both"/>
              <w:rPr>
                <w:rFonts w:hAnsi="宋体"/>
              </w:rPr>
            </w:pPr>
            <w:r>
              <w:rPr>
                <w:rFonts w:hint="eastAsia" w:hAnsi="宋体" w:cs="宋体"/>
                <w:kern w:val="2"/>
                <w:lang w:bidi="ar"/>
              </w:rPr>
              <w:t>②施工现场堆土要及时清理、清运，无法及时清理的地段可采在干土上喷水或覆盖等</w:t>
            </w:r>
          </w:p>
          <w:p>
            <w:pPr>
              <w:widowControl w:val="0"/>
              <w:ind w:right="-60" w:rightChars="-25" w:firstLine="480"/>
              <w:jc w:val="both"/>
              <w:rPr>
                <w:rFonts w:hAnsi="宋体"/>
              </w:rPr>
            </w:pPr>
            <w:r>
              <w:rPr>
                <w:rFonts w:hint="eastAsia" w:hAnsi="宋体" w:cs="宋体"/>
                <w:kern w:val="2"/>
                <w:lang w:bidi="ar"/>
              </w:rPr>
              <w:t>方法，防止尘土飞扬；装卸物料（如水泥、沙等）时应尽量降低高度以减少冲击扬尘污染；</w:t>
            </w:r>
          </w:p>
          <w:p>
            <w:pPr>
              <w:widowControl w:val="0"/>
              <w:ind w:left="-38" w:leftChars="-16" w:right="-60" w:rightChars="-25" w:firstLine="511" w:firstLineChars="213"/>
              <w:jc w:val="both"/>
              <w:rPr>
                <w:rFonts w:hAnsi="宋体"/>
              </w:rPr>
            </w:pPr>
            <w:r>
              <w:rPr>
                <w:rFonts w:hint="eastAsia" w:hAnsi="宋体" w:cs="宋体"/>
                <w:kern w:val="2"/>
                <w:lang w:bidi="ar"/>
              </w:rPr>
              <w:t>③在施工过程中，施工单位应尽量采用低噪声的施工机械，减少同时作业的高噪施工</w:t>
            </w:r>
          </w:p>
          <w:p>
            <w:pPr>
              <w:widowControl w:val="0"/>
              <w:ind w:right="-60" w:rightChars="-25" w:firstLine="480"/>
              <w:jc w:val="both"/>
              <w:rPr>
                <w:rFonts w:hAnsi="宋体"/>
              </w:rPr>
            </w:pPr>
            <w:r>
              <w:rPr>
                <w:rFonts w:hint="eastAsia" w:hAnsi="宋体" w:cs="宋体"/>
                <w:kern w:val="2"/>
                <w:lang w:bidi="ar"/>
              </w:rPr>
              <w:t>机械数量，尽可能减轻声源叠加影响。</w:t>
            </w:r>
          </w:p>
          <w:p>
            <w:pPr>
              <w:widowControl w:val="0"/>
              <w:ind w:right="-60" w:rightChars="-25" w:firstLine="480"/>
              <w:jc w:val="both"/>
              <w:rPr>
                <w:rFonts w:hAnsi="宋体"/>
              </w:rPr>
            </w:pPr>
            <w:r>
              <w:rPr>
                <w:rFonts w:hAnsi="宋体"/>
                <w:kern w:val="2"/>
                <w:lang w:bidi="ar"/>
              </w:rPr>
              <w:t xml:space="preserve">    </w:t>
            </w:r>
            <w:r>
              <w:rPr>
                <w:rFonts w:hint="eastAsia" w:hAnsi="宋体" w:cs="宋体"/>
                <w:kern w:val="2"/>
                <w:lang w:bidi="ar"/>
              </w:rPr>
              <w:t>④施工期产生的建筑垃圾、施工渣土运输过程中严格执行有关规定。</w:t>
            </w:r>
          </w:p>
          <w:p>
            <w:pPr>
              <w:widowControl w:val="0"/>
              <w:ind w:left="-38" w:leftChars="-16" w:right="-60" w:rightChars="-25" w:firstLine="513" w:firstLineChars="213"/>
              <w:jc w:val="both"/>
              <w:rPr>
                <w:rFonts w:hAnsi="宋体"/>
                <w:b/>
              </w:rPr>
            </w:pPr>
            <w:r>
              <w:rPr>
                <w:rFonts w:hAnsi="宋体"/>
                <w:b/>
                <w:kern w:val="2"/>
                <w:lang w:bidi="ar"/>
              </w:rPr>
              <w:t>4</w:t>
            </w:r>
            <w:r>
              <w:rPr>
                <w:rFonts w:hint="eastAsia" w:hAnsi="宋体" w:cs="宋体"/>
                <w:b/>
                <w:kern w:val="2"/>
                <w:lang w:bidi="ar"/>
              </w:rPr>
              <w:t>、营运期环境影响分析结论</w:t>
            </w:r>
          </w:p>
          <w:p>
            <w:pPr>
              <w:widowControl w:val="0"/>
              <w:ind w:firstLine="480"/>
              <w:jc w:val="both"/>
            </w:pPr>
            <w:r>
              <w:rPr>
                <w:rFonts w:hint="eastAsia" w:hAnsi="宋体" w:cs="宋体"/>
                <w:kern w:val="2"/>
                <w:lang w:bidi="ar"/>
              </w:rPr>
              <w:t>（</w:t>
            </w:r>
            <w:r>
              <w:rPr>
                <w:rFonts w:hAnsi="宋体"/>
                <w:kern w:val="2"/>
                <w:lang w:bidi="ar"/>
              </w:rPr>
              <w:t>1</w:t>
            </w:r>
            <w:r>
              <w:rPr>
                <w:rFonts w:hint="eastAsia" w:hAnsi="宋体" w:cs="宋体"/>
                <w:kern w:val="2"/>
                <w:lang w:bidi="ar"/>
              </w:rPr>
              <w:t>）废水：</w:t>
            </w:r>
            <w:r>
              <w:rPr>
                <w:rFonts w:hint="eastAsia" w:ascii="宋体" w:hAnsi="宋体" w:cs="宋体"/>
                <w:kern w:val="2"/>
                <w:lang w:bidi="ar"/>
              </w:rPr>
              <w:t>本项目建成后，主要为生活废水及场地冲洗废水。污水总排放</w:t>
            </w:r>
            <w:r>
              <w:rPr>
                <w:rFonts w:hint="eastAsia" w:cs="宋体"/>
                <w:kern w:val="2"/>
                <w:lang w:bidi="ar"/>
              </w:rPr>
              <w:t>量为</w:t>
            </w:r>
            <w:r>
              <w:rPr>
                <w:kern w:val="2"/>
                <w:lang w:bidi="ar"/>
              </w:rPr>
              <w:t>292t/a</w:t>
            </w:r>
            <w:r>
              <w:rPr>
                <w:rFonts w:hint="eastAsia" w:cs="宋体"/>
                <w:kern w:val="2"/>
                <w:lang w:bidi="ar"/>
              </w:rPr>
              <w:t>。项</w:t>
            </w:r>
            <w:r>
              <w:rPr>
                <w:rFonts w:hint="eastAsia" w:ascii="宋体" w:hAnsi="宋体" w:cs="宋体"/>
                <w:kern w:val="2"/>
                <w:lang w:bidi="ar"/>
              </w:rPr>
              <w:t>目排水管网的采用雨、污分流方式。</w:t>
            </w:r>
            <w:r>
              <w:rPr>
                <w:rFonts w:hint="eastAsia" w:cs="宋体"/>
                <w:kern w:val="2"/>
                <w:szCs w:val="20"/>
                <w:lang w:bidi="ar"/>
              </w:rPr>
              <w:t>项目冲洗废水及生活污水经隔油池、化粪池预处理后进入企业建设的地埋式污水处理设施处理，达到《污水综合排放标准》（</w:t>
            </w:r>
            <w:r>
              <w:rPr>
                <w:kern w:val="2"/>
                <w:szCs w:val="20"/>
                <w:lang w:bidi="ar"/>
              </w:rPr>
              <w:t>GB8978-1996</w:t>
            </w:r>
            <w:r>
              <w:rPr>
                <w:rFonts w:hint="eastAsia" w:cs="宋体"/>
                <w:kern w:val="2"/>
                <w:szCs w:val="20"/>
                <w:lang w:bidi="ar"/>
              </w:rPr>
              <w:t>）表</w:t>
            </w:r>
            <w:r>
              <w:rPr>
                <w:kern w:val="2"/>
                <w:szCs w:val="20"/>
                <w:lang w:bidi="ar"/>
              </w:rPr>
              <w:t>4</w:t>
            </w:r>
            <w:r>
              <w:rPr>
                <w:rFonts w:hint="eastAsia" w:cs="宋体"/>
                <w:kern w:val="2"/>
                <w:szCs w:val="20"/>
                <w:lang w:bidi="ar"/>
              </w:rPr>
              <w:t>中一级标准后排放</w:t>
            </w:r>
            <w:r>
              <w:rPr>
                <w:rFonts w:hint="eastAsia" w:cs="宋体"/>
                <w:kern w:val="2"/>
                <w:lang w:bidi="ar"/>
              </w:rPr>
              <w:t>。</w:t>
            </w:r>
          </w:p>
          <w:p>
            <w:pPr>
              <w:widowControl/>
              <w:ind w:firstLine="480"/>
              <w:jc w:val="left"/>
              <w:rPr>
                <w:rFonts w:ascii="Times New Roman" w:hAnsi="Times New Roman"/>
              </w:rPr>
            </w:pPr>
            <w:r>
              <w:rPr>
                <w:rFonts w:hint="eastAsia"/>
                <w:kern w:val="2"/>
                <w:lang w:bidi="ar"/>
              </w:rPr>
              <w:t>（</w:t>
            </w:r>
            <w:r>
              <w:rPr>
                <w:kern w:val="2"/>
                <w:lang w:bidi="ar"/>
              </w:rPr>
              <w:t>2</w:t>
            </w:r>
            <w:r>
              <w:rPr>
                <w:rFonts w:hint="eastAsia"/>
                <w:kern w:val="2"/>
                <w:lang w:bidi="ar"/>
              </w:rPr>
              <w:t>）废气：本项目</w:t>
            </w:r>
            <w:r>
              <w:rPr>
                <w:rFonts w:hint="eastAsia"/>
                <w:color w:val="000000"/>
                <w:kern w:val="2"/>
                <w:lang w:bidi="ar"/>
              </w:rPr>
              <w:t>加油作业</w:t>
            </w:r>
            <w:r>
              <w:rPr>
                <w:rFonts w:hint="eastAsia"/>
                <w:kern w:val="2"/>
                <w:lang w:bidi="ar"/>
              </w:rPr>
              <w:t>油气回收装置油气回收率在</w:t>
            </w:r>
            <w:r>
              <w:rPr>
                <w:kern w:val="2"/>
                <w:lang w:bidi="ar"/>
              </w:rPr>
              <w:t>90</w:t>
            </w:r>
            <w:r>
              <w:rPr>
                <w:rFonts w:hint="eastAsia"/>
                <w:kern w:val="2"/>
                <w:lang w:bidi="ar"/>
              </w:rPr>
              <w:t>％以上，本次评价以</w:t>
            </w:r>
            <w:r>
              <w:rPr>
                <w:kern w:val="2"/>
                <w:lang w:bidi="ar"/>
              </w:rPr>
              <w:t>90%</w:t>
            </w:r>
            <w:r>
              <w:rPr>
                <w:rFonts w:hint="eastAsia"/>
                <w:kern w:val="2"/>
                <w:lang w:bidi="ar"/>
              </w:rPr>
              <w:t>计，则加油作业油气排放量为</w:t>
            </w:r>
            <w:r>
              <w:rPr>
                <w:kern w:val="2"/>
                <w:lang w:bidi="ar"/>
              </w:rPr>
              <w:t>0.079t/a</w:t>
            </w:r>
            <w:r>
              <w:rPr>
                <w:rFonts w:hint="eastAsia"/>
                <w:kern w:val="2"/>
                <w:lang w:bidi="ar"/>
              </w:rPr>
              <w:t>。油气由通气管管口排放，排放口高出地面</w:t>
            </w:r>
            <w:r>
              <w:rPr>
                <w:kern w:val="2"/>
                <w:lang w:bidi="ar"/>
              </w:rPr>
              <w:t>4m</w:t>
            </w:r>
            <w:r>
              <w:rPr>
                <w:rFonts w:hint="eastAsia"/>
                <w:kern w:val="2"/>
                <w:lang w:bidi="ar"/>
              </w:rPr>
              <w:t>，通过至少</w:t>
            </w:r>
            <w:r>
              <w:rPr>
                <w:kern w:val="2"/>
                <w:lang w:bidi="ar"/>
              </w:rPr>
              <w:t>3m</w:t>
            </w:r>
            <w:r>
              <w:rPr>
                <w:kern w:val="2"/>
                <w:vertAlign w:val="superscript"/>
                <w:lang w:bidi="ar"/>
              </w:rPr>
              <w:t>3</w:t>
            </w:r>
            <w:r>
              <w:rPr>
                <w:kern w:val="2"/>
                <w:lang w:bidi="ar"/>
              </w:rPr>
              <w:t>/h</w:t>
            </w:r>
            <w:r>
              <w:rPr>
                <w:rFonts w:hint="eastAsia"/>
                <w:kern w:val="2"/>
                <w:lang w:bidi="ar"/>
              </w:rPr>
              <w:t>的油气回收装置，排放浓度为</w:t>
            </w:r>
            <w:r>
              <w:rPr>
                <w:kern w:val="2"/>
                <w:lang w:bidi="ar"/>
              </w:rPr>
              <w:t>9g/m</w:t>
            </w:r>
            <w:r>
              <w:rPr>
                <w:kern w:val="2"/>
                <w:vertAlign w:val="superscript"/>
                <w:lang w:bidi="ar"/>
              </w:rPr>
              <w:t>3</w:t>
            </w:r>
            <w:r>
              <w:rPr>
                <w:rFonts w:hint="eastAsia"/>
                <w:kern w:val="2"/>
                <w:lang w:bidi="ar"/>
              </w:rPr>
              <w:t>，</w:t>
            </w:r>
            <w:r>
              <w:rPr>
                <w:rFonts w:hint="eastAsia"/>
                <w:bCs/>
                <w:kern w:val="2"/>
                <w:lang w:bidi="ar"/>
              </w:rPr>
              <w:t>符合</w:t>
            </w:r>
            <w:r>
              <w:rPr>
                <w:rFonts w:hint="eastAsia"/>
                <w:kern w:val="2"/>
                <w:lang w:bidi="ar"/>
              </w:rPr>
              <w:t>《加油站大气污染物排放标准》</w:t>
            </w:r>
            <w:r>
              <w:rPr>
                <w:rFonts w:hint="eastAsia" w:ascii="Times New Roman" w:hAnsi="Times New Roman"/>
                <w:lang w:bidi="ar"/>
              </w:rPr>
              <w:t>（</w:t>
            </w:r>
            <w:r>
              <w:rPr>
                <w:rFonts w:ascii="Times New Roman" w:hAnsi="Times New Roman"/>
                <w:lang w:bidi="ar"/>
              </w:rPr>
              <w:t>GB20952-2007</w:t>
            </w:r>
            <w:r>
              <w:rPr>
                <w:rFonts w:hint="eastAsia" w:ascii="Times New Roman" w:hAnsi="Times New Roman"/>
                <w:lang w:bidi="ar"/>
              </w:rPr>
              <w:t>）中排放浓度低于</w:t>
            </w:r>
            <w:r>
              <w:rPr>
                <w:rFonts w:ascii="Times New Roman" w:hAnsi="Times New Roman"/>
                <w:lang w:bidi="ar"/>
              </w:rPr>
              <w:t>25g/m</w:t>
            </w:r>
            <w:r>
              <w:rPr>
                <w:rFonts w:ascii="Times New Roman" w:hAnsi="Times New Roman"/>
                <w:vertAlign w:val="superscript"/>
                <w:lang w:bidi="ar"/>
              </w:rPr>
              <w:t>3</w:t>
            </w:r>
            <w:r>
              <w:rPr>
                <w:rFonts w:hint="eastAsia" w:ascii="Times New Roman" w:hAnsi="Times New Roman"/>
                <w:lang w:bidi="ar"/>
              </w:rPr>
              <w:t>及</w:t>
            </w:r>
            <w:r>
              <w:rPr>
                <w:rFonts w:hint="eastAsia" w:cs="宋体"/>
                <w:lang w:bidi="ar"/>
              </w:rPr>
              <w:t>排放口距地平面高度应</w:t>
            </w:r>
            <w:r>
              <w:rPr>
                <w:rFonts w:hint="eastAsia" w:ascii="Times New Roman" w:hAnsi="Times New Roman"/>
                <w:lang w:bidi="ar"/>
              </w:rPr>
              <w:t>不低于</w:t>
            </w:r>
            <w:r>
              <w:rPr>
                <w:rFonts w:ascii="Times New Roman" w:hAnsi="Times New Roman"/>
                <w:lang w:bidi="ar"/>
              </w:rPr>
              <w:t>4m</w:t>
            </w:r>
            <w:r>
              <w:rPr>
                <w:rFonts w:hint="eastAsia" w:cs="宋体"/>
                <w:lang w:bidi="ar"/>
              </w:rPr>
              <w:t>的要求。</w:t>
            </w:r>
          </w:p>
          <w:p>
            <w:pPr>
              <w:widowControl w:val="0"/>
              <w:ind w:firstLine="480"/>
              <w:jc w:val="both"/>
              <w:rPr>
                <w:szCs w:val="20"/>
              </w:rPr>
            </w:pPr>
            <w:r>
              <w:rPr>
                <w:rFonts w:hint="eastAsia" w:cs="宋体"/>
                <w:color w:val="000000"/>
                <w:kern w:val="2"/>
                <w:lang w:bidi="ar"/>
              </w:rPr>
              <w:t>加气作业中</w:t>
            </w:r>
            <w:r>
              <w:rPr>
                <w:rFonts w:hint="eastAsia" w:cs="宋体"/>
                <w:kern w:val="2"/>
                <w:lang w:bidi="ar"/>
              </w:rPr>
              <w:t>废气</w:t>
            </w:r>
            <w:r>
              <w:rPr>
                <w:rFonts w:hint="eastAsia" w:cs="宋体"/>
                <w:color w:val="000000"/>
                <w:kern w:val="2"/>
                <w:lang w:bidi="ar"/>
              </w:rPr>
              <w:t>主要为</w:t>
            </w:r>
            <w:r>
              <w:rPr>
                <w:rFonts w:hint="eastAsia" w:cs="宋体"/>
                <w:kern w:val="2"/>
                <w:szCs w:val="20"/>
                <w:lang w:bidi="ar"/>
              </w:rPr>
              <w:t>运行期间设备检修及加气枪放空过程，少量天然气通过放散塔放散系统排放。设备一般每年进行一次定期检修，检修产生的少量天然气通过工艺站场外的放空系统直接排放。</w:t>
            </w:r>
          </w:p>
          <w:p>
            <w:pPr>
              <w:widowControl w:val="0"/>
              <w:ind w:firstLine="480"/>
              <w:jc w:val="both"/>
              <w:rPr>
                <w:color w:val="000000"/>
              </w:rPr>
            </w:pPr>
            <w:r>
              <w:rPr>
                <w:rFonts w:hint="eastAsia" w:cs="宋体"/>
                <w:color w:val="000000"/>
                <w:kern w:val="2"/>
                <w:lang w:bidi="ar"/>
              </w:rPr>
              <w:t>预计本项目排入大气的非甲烷总烃为</w:t>
            </w:r>
            <w:r>
              <w:rPr>
                <w:kern w:val="2"/>
                <w:lang w:bidi="ar"/>
              </w:rPr>
              <w:t>0.776t/a</w:t>
            </w:r>
            <w:r>
              <w:rPr>
                <w:rFonts w:hint="eastAsia" w:cs="宋体"/>
                <w:color w:val="000000"/>
                <w:kern w:val="2"/>
                <w:lang w:bidi="ar"/>
              </w:rPr>
              <w:t>，对附近地区的环境空气的影响有限。</w:t>
            </w:r>
          </w:p>
          <w:p>
            <w:pPr>
              <w:widowControl w:val="0"/>
              <w:ind w:firstLine="480"/>
              <w:jc w:val="both"/>
              <w:rPr>
                <w:rFonts w:hAnsi="宋体"/>
                <w:szCs w:val="20"/>
              </w:rPr>
            </w:pPr>
            <w:r>
              <w:rPr>
                <w:rFonts w:hint="eastAsia" w:cs="宋体"/>
                <w:kern w:val="2"/>
                <w:lang w:bidi="ar"/>
              </w:rPr>
              <w:t>（</w:t>
            </w:r>
            <w:r>
              <w:rPr>
                <w:kern w:val="2"/>
                <w:lang w:bidi="ar"/>
              </w:rPr>
              <w:t>3</w:t>
            </w:r>
            <w:r>
              <w:rPr>
                <w:rFonts w:hint="eastAsia" w:cs="宋体"/>
                <w:kern w:val="2"/>
                <w:lang w:bidi="ar"/>
              </w:rPr>
              <w:t>）固体废物：</w:t>
            </w:r>
            <w:r>
              <w:rPr>
                <w:rFonts w:hint="eastAsia" w:hAnsi="宋体" w:cs="宋体"/>
                <w:kern w:val="2"/>
                <w:szCs w:val="20"/>
                <w:lang w:bidi="ar"/>
              </w:rPr>
              <w:t>项目营运期生活垃圾、油水分离池及油罐清理产生的废油及油泥、站区日常滴漏油处理产生的废弃含油石沙及棉布等。预计生活垃圾产生量</w:t>
            </w:r>
            <w:r>
              <w:rPr>
                <w:rFonts w:hAnsi="宋体"/>
                <w:kern w:val="2"/>
                <w:szCs w:val="20"/>
                <w:lang w:bidi="ar"/>
              </w:rPr>
              <w:t>20.1t/a</w:t>
            </w:r>
            <w:r>
              <w:rPr>
                <w:rFonts w:hint="eastAsia" w:hAnsi="宋体" w:cs="宋体"/>
                <w:kern w:val="2"/>
                <w:szCs w:val="20"/>
                <w:lang w:bidi="ar"/>
              </w:rPr>
              <w:t>，</w:t>
            </w:r>
            <w:r>
              <w:rPr>
                <w:rFonts w:hint="eastAsia" w:hAnsi="F4" w:eastAsia="F4" w:cs="F4"/>
                <w:kern w:val="2"/>
                <w:lang w:bidi="ar"/>
              </w:rPr>
              <w:t>废油及油泥产生量为</w:t>
            </w:r>
            <w:r>
              <w:rPr>
                <w:rFonts w:hAnsi="宋体"/>
                <w:kern w:val="2"/>
                <w:szCs w:val="20"/>
                <w:lang w:bidi="ar"/>
              </w:rPr>
              <w:t>0.5t/a</w:t>
            </w:r>
            <w:r>
              <w:rPr>
                <w:rFonts w:hint="eastAsia" w:hAnsi="F4" w:eastAsia="F4" w:cs="F4"/>
                <w:kern w:val="2"/>
                <w:lang w:bidi="ar"/>
              </w:rPr>
              <w:t>，</w:t>
            </w:r>
            <w:r>
              <w:rPr>
                <w:rFonts w:hint="eastAsia" w:hAnsi="宋体" w:cs="宋体"/>
                <w:kern w:val="2"/>
                <w:szCs w:val="20"/>
                <w:lang w:bidi="ar"/>
              </w:rPr>
              <w:t>废弃含油石沙及棉布产生量</w:t>
            </w:r>
            <w:r>
              <w:rPr>
                <w:rFonts w:hAnsi="宋体"/>
                <w:kern w:val="2"/>
                <w:szCs w:val="20"/>
                <w:lang w:bidi="ar"/>
              </w:rPr>
              <w:t>0.5t/a</w:t>
            </w:r>
            <w:r>
              <w:rPr>
                <w:rFonts w:hint="eastAsia" w:hAnsi="宋体" w:cs="宋体"/>
                <w:kern w:val="2"/>
                <w:szCs w:val="20"/>
                <w:lang w:bidi="ar"/>
              </w:rPr>
              <w:t>。生活垃圾交由环卫部门及时清运至附近生活垃圾处理场集中处理；</w:t>
            </w:r>
            <w:r>
              <w:rPr>
                <w:rFonts w:hint="eastAsia" w:hAnsi="F4" w:eastAsia="F4" w:cs="F4"/>
                <w:kern w:val="2"/>
                <w:lang w:bidi="ar"/>
              </w:rPr>
              <w:t>废油及油泥</w:t>
            </w:r>
            <w:r>
              <w:rPr>
                <w:rFonts w:hint="eastAsia" w:hAnsi="宋体" w:cs="宋体"/>
                <w:kern w:val="2"/>
                <w:szCs w:val="20"/>
                <w:lang w:bidi="ar"/>
              </w:rPr>
              <w:t>、废弃含油石沙及棉布分类收集送至有资质的单位处置。经上述措施处理后，项目产生的固废对环境影响较小。</w:t>
            </w:r>
            <w:r>
              <w:rPr>
                <w:rFonts w:hAnsi="宋体"/>
                <w:kern w:val="2"/>
                <w:szCs w:val="20"/>
                <w:lang w:bidi="ar"/>
              </w:rPr>
              <w:t xml:space="preserve"> </w:t>
            </w:r>
          </w:p>
          <w:p>
            <w:pPr>
              <w:widowControl w:val="0"/>
              <w:ind w:firstLine="480"/>
              <w:jc w:val="both"/>
              <w:rPr>
                <w:rFonts w:hAnsi="宋体"/>
              </w:rPr>
            </w:pPr>
            <w:r>
              <w:rPr>
                <w:rFonts w:hint="eastAsia" w:cs="宋体"/>
                <w:kern w:val="2"/>
                <w:lang w:bidi="ar"/>
              </w:rPr>
              <w:t>（</w:t>
            </w:r>
            <w:r>
              <w:rPr>
                <w:kern w:val="2"/>
                <w:lang w:bidi="ar"/>
              </w:rPr>
              <w:t>4</w:t>
            </w:r>
            <w:r>
              <w:rPr>
                <w:rFonts w:hint="eastAsia" w:cs="宋体"/>
                <w:kern w:val="2"/>
                <w:lang w:bidi="ar"/>
              </w:rPr>
              <w:t>）</w:t>
            </w:r>
            <w:r>
              <w:rPr>
                <w:rFonts w:hint="eastAsia" w:hAnsi="宋体" w:cs="宋体"/>
                <w:kern w:val="2"/>
                <w:lang w:bidi="ar"/>
              </w:rPr>
              <w:t>噪声：</w:t>
            </w:r>
            <w:r>
              <w:rPr>
                <w:rFonts w:hint="eastAsia" w:ascii="宋体" w:hAnsi="宋体" w:cs="宋体"/>
                <w:color w:val="000000"/>
                <w:kern w:val="2"/>
                <w:lang w:bidi="ar"/>
              </w:rPr>
              <w:t>主要是汽车行驶、启动时产生的交通噪声和输油泵、加油机、加气机等产生的设备噪声。业主应加强管理，控制进出车辆车速、禁止鸣笛；</w:t>
            </w:r>
            <w:r>
              <w:rPr>
                <w:rFonts w:hint="eastAsia" w:cs="宋体"/>
                <w:bCs/>
                <w:kern w:val="2"/>
                <w:szCs w:val="20"/>
                <w:lang w:bidi="ar"/>
              </w:rPr>
              <w:t>经减震、隔声和距离衰减后，</w:t>
            </w:r>
            <w:r>
              <w:rPr>
                <w:rFonts w:hint="eastAsia" w:ascii="宋体" w:hAnsi="宋体" w:cs="宋体"/>
                <w:color w:val="000000"/>
                <w:kern w:val="2"/>
                <w:lang w:bidi="ar"/>
              </w:rPr>
              <w:t>厂界噪声达到《工业企业厂界环境噪声排</w:t>
            </w:r>
            <w:r>
              <w:rPr>
                <w:rFonts w:hint="eastAsia" w:cs="宋体"/>
                <w:color w:val="000000"/>
                <w:kern w:val="2"/>
                <w:lang w:bidi="ar"/>
              </w:rPr>
              <w:t>放标准》（</w:t>
            </w:r>
            <w:r>
              <w:rPr>
                <w:color w:val="000000"/>
                <w:kern w:val="2"/>
                <w:lang w:bidi="ar"/>
              </w:rPr>
              <w:t>GB12348</w:t>
            </w:r>
            <w:r>
              <w:rPr>
                <w:rFonts w:hint="eastAsia" w:cs="宋体"/>
                <w:color w:val="000000"/>
                <w:kern w:val="2"/>
                <w:lang w:bidi="ar"/>
              </w:rPr>
              <w:t>－</w:t>
            </w:r>
            <w:r>
              <w:rPr>
                <w:color w:val="000000"/>
                <w:kern w:val="2"/>
                <w:lang w:bidi="ar"/>
              </w:rPr>
              <w:t>2008</w:t>
            </w:r>
            <w:r>
              <w:rPr>
                <w:rFonts w:hint="eastAsia" w:cs="宋体"/>
                <w:color w:val="000000"/>
                <w:kern w:val="2"/>
                <w:lang w:bidi="ar"/>
              </w:rPr>
              <w:t>）</w:t>
            </w:r>
            <w:r>
              <w:rPr>
                <w:color w:val="000000"/>
                <w:kern w:val="2"/>
                <w:lang w:bidi="ar"/>
              </w:rPr>
              <w:t>2</w:t>
            </w:r>
            <w:r>
              <w:rPr>
                <w:rFonts w:hint="eastAsia" w:cs="宋体"/>
                <w:color w:val="000000"/>
                <w:kern w:val="2"/>
                <w:lang w:bidi="ar"/>
              </w:rPr>
              <w:t>类标准，对环境影响较小。</w:t>
            </w:r>
          </w:p>
          <w:p>
            <w:pPr>
              <w:widowControl w:val="0"/>
              <w:ind w:firstLine="480"/>
              <w:jc w:val="both"/>
              <w:rPr>
                <w:rFonts w:hAnsi="宋体"/>
                <w:b/>
              </w:rPr>
            </w:pPr>
            <w:r>
              <w:rPr>
                <w:kern w:val="2"/>
                <w:szCs w:val="20"/>
                <w:lang w:bidi="ar"/>
              </w:rPr>
              <w:t xml:space="preserve">    </w:t>
            </w:r>
            <w:r>
              <w:rPr>
                <w:rFonts w:hAnsi="宋体"/>
                <w:b/>
                <w:kern w:val="2"/>
                <w:lang w:bidi="ar"/>
              </w:rPr>
              <w:t>4</w:t>
            </w:r>
            <w:r>
              <w:rPr>
                <w:rFonts w:hint="eastAsia" w:hAnsi="宋体" w:cs="宋体"/>
                <w:b/>
                <w:kern w:val="2"/>
                <w:lang w:bidi="ar"/>
              </w:rPr>
              <w:t>、达标排放分析结论</w:t>
            </w:r>
          </w:p>
          <w:p>
            <w:pPr>
              <w:widowControl w:val="0"/>
              <w:ind w:firstLine="480"/>
              <w:jc w:val="both"/>
              <w:rPr>
                <w:rFonts w:hAnsi="宋体"/>
              </w:rPr>
            </w:pPr>
            <w:r>
              <w:rPr>
                <w:rFonts w:hint="eastAsia" w:cs="宋体"/>
                <w:kern w:val="2"/>
                <w:lang w:bidi="ar"/>
              </w:rPr>
              <w:t>项目加油作业安装卸油、加油二级油气回收系统，加气作业设置</w:t>
            </w:r>
            <w:r>
              <w:rPr>
                <w:kern w:val="2"/>
                <w:lang w:bidi="ar"/>
              </w:rPr>
              <w:t xml:space="preserve"> EAG </w:t>
            </w:r>
            <w:r>
              <w:rPr>
                <w:rFonts w:hint="eastAsia" w:cs="宋体"/>
                <w:kern w:val="2"/>
                <w:lang w:bidi="ar"/>
              </w:rPr>
              <w:t>加热系统对放散天然气加热后放散；</w:t>
            </w:r>
            <w:r>
              <w:rPr>
                <w:rFonts w:hint="eastAsia" w:cs="宋体"/>
                <w:kern w:val="2"/>
                <w:szCs w:val="20"/>
                <w:lang w:bidi="ar"/>
              </w:rPr>
              <w:t>项目冲洗废水及生活污水经隔油池、化粪池预处理后进入企业建设的地埋式污水处理设施处理，达到《污水综合排放标准》（</w:t>
            </w:r>
            <w:r>
              <w:rPr>
                <w:kern w:val="2"/>
                <w:szCs w:val="20"/>
                <w:lang w:bidi="ar"/>
              </w:rPr>
              <w:t>GB8978-1996</w:t>
            </w:r>
            <w:r>
              <w:rPr>
                <w:rFonts w:hint="eastAsia" w:cs="宋体"/>
                <w:kern w:val="2"/>
                <w:szCs w:val="20"/>
                <w:lang w:bidi="ar"/>
              </w:rPr>
              <w:t>）表</w:t>
            </w:r>
            <w:r>
              <w:rPr>
                <w:kern w:val="2"/>
                <w:szCs w:val="20"/>
                <w:lang w:bidi="ar"/>
              </w:rPr>
              <w:t>4</w:t>
            </w:r>
            <w:r>
              <w:rPr>
                <w:rFonts w:hint="eastAsia" w:cs="宋体"/>
                <w:kern w:val="2"/>
                <w:szCs w:val="20"/>
                <w:lang w:bidi="ar"/>
              </w:rPr>
              <w:t>中一级标准后排放</w:t>
            </w:r>
            <w:r>
              <w:rPr>
                <w:rFonts w:hint="eastAsia" w:cs="宋体"/>
                <w:kern w:val="2"/>
                <w:lang w:bidi="ar"/>
              </w:rPr>
              <w:t>；固废得到妥善处理；噪声污染防治措施可行。</w:t>
            </w:r>
          </w:p>
          <w:p>
            <w:pPr>
              <w:widowControl w:val="0"/>
              <w:ind w:firstLine="480"/>
              <w:jc w:val="both"/>
              <w:rPr>
                <w:rFonts w:hAnsi="宋体"/>
              </w:rPr>
            </w:pPr>
            <w:r>
              <w:rPr>
                <w:rFonts w:hint="eastAsia" w:ascii="宋体" w:hAnsi="宋体" w:cs="宋体"/>
                <w:kern w:val="2"/>
                <w:lang w:bidi="ar"/>
              </w:rPr>
              <w:t>综上所述，本建设项目符合国家产业政策，选址合理。项目运营期产生废气、废水、固废和噪声通过有效的污染防治措施，对环境影响较小，从环境保护的角度来讲，该项目在拟建地建设是可行的</w:t>
            </w:r>
            <w:r>
              <w:rPr>
                <w:rFonts w:hint="eastAsia" w:hAnsi="宋体" w:cs="宋体"/>
                <w:kern w:val="2"/>
                <w:lang w:bidi="ar"/>
              </w:rPr>
              <w:t>。</w:t>
            </w:r>
          </w:p>
          <w:p>
            <w:pPr>
              <w:widowControl w:val="0"/>
              <w:ind w:firstLine="0" w:firstLineChars="0"/>
              <w:jc w:val="both"/>
              <w:rPr>
                <w:rFonts w:ascii="宋体" w:hAnsi="宋体" w:cs="宋体"/>
                <w:color w:val="000000"/>
                <w:lang w:bidi="ar"/>
              </w:rPr>
            </w:pPr>
            <w:r>
              <w:rPr>
                <w:rFonts w:hint="eastAsia" w:ascii="宋体" w:hAnsi="宋体" w:cs="宋体"/>
                <w:color w:val="000000"/>
                <w:lang w:bidi="ar"/>
              </w:rPr>
              <w:t xml:space="preserve"> </w:t>
            </w:r>
          </w:p>
          <w:p>
            <w:pPr>
              <w:widowControl w:val="0"/>
              <w:ind w:firstLine="0" w:firstLineChars="0"/>
              <w:jc w:val="both"/>
            </w:pPr>
            <w:r>
              <w:t>审批决定</w:t>
            </w:r>
          </w:p>
          <w:p>
            <w:pPr>
              <w:widowControl w:val="0"/>
              <w:ind w:firstLine="0" w:firstLineChars="0"/>
              <w:jc w:val="both"/>
            </w:pPr>
            <w:r>
              <w:rPr>
                <w:rFonts w:hint="eastAsia"/>
              </w:rPr>
              <w:t>郊环函[201</w:t>
            </w:r>
            <w:r>
              <w:t>7</w:t>
            </w:r>
            <w:r>
              <w:rPr>
                <w:rFonts w:hint="eastAsia"/>
              </w:rPr>
              <w:t>]</w:t>
            </w:r>
            <w:r>
              <w:t>30</w:t>
            </w:r>
            <w:r>
              <w:rPr>
                <w:rFonts w:hint="eastAsia"/>
              </w:rPr>
              <w:t>号</w:t>
            </w:r>
          </w:p>
          <w:p>
            <w:pPr>
              <w:pStyle w:val="18"/>
              <w:widowControl/>
              <w:spacing w:after="0" w:line="360" w:lineRule="auto"/>
              <w:ind w:firstLine="480"/>
              <w:jc w:val="both"/>
            </w:pPr>
            <w:r>
              <w:rPr>
                <w:rFonts w:hint="eastAsia"/>
              </w:rPr>
              <w:t>安徽灵通清洁能源股份有限公司横港物流园L-CNC油气合建站项目环境影响报告表审批意见的函</w:t>
            </w:r>
          </w:p>
          <w:p>
            <w:pPr>
              <w:pStyle w:val="18"/>
              <w:widowControl/>
              <w:spacing w:after="0" w:line="360" w:lineRule="auto"/>
              <w:ind w:firstLine="480"/>
              <w:jc w:val="both"/>
            </w:pPr>
            <w:r>
              <w:rPr>
                <w:rFonts w:hint="eastAsia"/>
              </w:rPr>
              <w:t xml:space="preserve">安徽灵通清洁能源股份有限公司 </w:t>
            </w:r>
            <w:r>
              <w:t>：</w:t>
            </w:r>
          </w:p>
          <w:p>
            <w:pPr>
              <w:widowControl w:val="0"/>
              <w:ind w:firstLine="480"/>
              <w:jc w:val="both"/>
            </w:pPr>
            <w:r>
              <w:rPr>
                <w:rFonts w:hint="eastAsia"/>
              </w:rPr>
              <w:t xml:space="preserve">你公司报来的《环境影响报告表》(以下简称《报告表》)收悉。经研究,现审批意见如下: </w:t>
            </w:r>
          </w:p>
          <w:p>
            <w:pPr>
              <w:widowControl w:val="0"/>
              <w:ind w:firstLine="480"/>
              <w:jc w:val="both"/>
            </w:pPr>
            <w:r>
              <w:rPr>
                <w:rFonts w:hint="eastAsia"/>
              </w:rPr>
              <w:t>一、该项目位于铜官大道东侧、横港物流园北侧(外贸码头对面) ， 占地面积7961.84平方米， 新建L-CNG油气合建站， 其中半地下LNG低温储罐1个， 容积60立方米； 地上CNG储气瓶一组， 容积8立方米； 设双枪CNG加气机2台、单枪LNG加气机2台； 30立方米埋地汽油储罐2个、30立方米埋地柴油储罐2个、双枪双油品潜油泵加油机4台，总投资3000万元，其中环保投资45万元。</w:t>
            </w:r>
          </w:p>
          <w:p>
            <w:pPr>
              <w:widowControl w:val="0"/>
              <w:ind w:firstLine="480"/>
              <w:jc w:val="both"/>
            </w:pPr>
            <w:r>
              <w:rPr>
                <w:rFonts w:hint="eastAsia"/>
              </w:rPr>
              <w:t>铜陵市郊区经济发展促进局同意该项目的备案(郊经发函〔2017〕25号)，铜陵市城乡规划局同意该项目的选址(铜规选审字(2017)第(017)号)。</w:t>
            </w:r>
          </w:p>
          <w:p>
            <w:pPr>
              <w:widowControl w:val="0"/>
              <w:ind w:firstLine="480"/>
              <w:jc w:val="both"/>
            </w:pPr>
            <w:r>
              <w:rPr>
                <w:rFonts w:hint="eastAsia"/>
              </w:rPr>
              <w:t>该项目在认真落实《报告表》提出的各项环境保护措施的前提下，我局同意按照《报告表》明确的建设性质、规模、地点和环境保护对策、措施进行建设。同意《报告表》结论及建议，其可作为项目环境保护设计和竣工验收依据。</w:t>
            </w:r>
          </w:p>
          <w:p>
            <w:pPr>
              <w:widowControl w:val="0"/>
              <w:ind w:firstLine="480"/>
              <w:jc w:val="both"/>
            </w:pPr>
            <w:r>
              <w:rPr>
                <w:rFonts w:hint="eastAsia"/>
              </w:rPr>
              <w:t>二、项目在施工期及运营期须严格落实《报告表》提出的各项环境保护措施，所需环保投资必须落实并重点做好以下工作：</w:t>
            </w:r>
          </w:p>
          <w:p>
            <w:pPr>
              <w:widowControl w:val="0"/>
              <w:ind w:firstLine="480"/>
              <w:jc w:val="both"/>
            </w:pPr>
            <w:r>
              <w:rPr>
                <w:rFonts w:hint="eastAsia"/>
              </w:rPr>
              <w:t>(一)按照《铜陵市城市扬尘污染防治管理办法》、《铜陵市环境噪声污染防治管理办法》要求，加强项目施工期环境管理.采取施工场地围挡、洒水抑尘，产尘物料密闭运输、施工废水沉淀处理回用等措施，防止水土流失和施工废水、扬尘、固废等污染环境.选用低噪声施工机械，合理安排各类施工机械作业时间，严格控制高噪声设备夜间施工，施工场界噪声须符合《建筑施工场界环境噪声排放标准》 (GB12523-2011)。</w:t>
            </w:r>
          </w:p>
          <w:p>
            <w:pPr>
              <w:widowControl w:val="0"/>
              <w:ind w:firstLine="480"/>
              <w:jc w:val="both"/>
            </w:pPr>
            <w:r>
              <w:rPr>
                <w:rFonts w:hint="eastAsia"/>
              </w:rPr>
              <w:t xml:space="preserve"> (二)按照“雨污分流”原则设计、建设给排水管网。加油站场区地面冲洗废水及生活污水经隔油池、化粪池预处理后一并进入地埋式一体化污水处理设施处理达到《污水综合排放标准》(GB8978-1996)一级标准后外排，做好油品储罐区的防渗处理，防止油品泄漏对地下水及土壤环境造成污染。</w:t>
            </w:r>
          </w:p>
          <w:p>
            <w:pPr>
              <w:widowControl w:val="0"/>
              <w:ind w:firstLine="480"/>
              <w:jc w:val="both"/>
            </w:pPr>
            <w:r>
              <w:rPr>
                <w:rFonts w:hint="eastAsia"/>
              </w:rPr>
              <w:t>(三)加强运营期的管理，做好加油区无组织排放废气的防治，设置卸油、加油油气回收装置，使其满足《加油站大气污染物排放标准》(GB20952-2007)的要求。</w:t>
            </w:r>
          </w:p>
          <w:p>
            <w:pPr>
              <w:widowControl w:val="0"/>
              <w:ind w:firstLine="480"/>
              <w:jc w:val="both"/>
            </w:pPr>
            <w:r>
              <w:rPr>
                <w:rFonts w:hint="eastAsia"/>
              </w:rPr>
              <w:t>做好天然气加气装置及管道阀门的管理与定期维护，减少营运过程中天然气的无组织排放，使其符合《大气污染物综合排放标准》(GB16297-1996)表2中无组织排放监控浓度限值要求。</w:t>
            </w:r>
          </w:p>
          <w:p>
            <w:pPr>
              <w:widowControl w:val="0"/>
              <w:ind w:firstLine="480"/>
              <w:jc w:val="both"/>
            </w:pPr>
            <w:r>
              <w:rPr>
                <w:rFonts w:hint="eastAsia"/>
              </w:rPr>
              <w:t>(四)选用低噪声设备，采取有效的隔声、消声和减震等措施，确保厂界噪声达到《工业企业厂界噪声标准》 (GB12348-2008)中2类标准.</w:t>
            </w:r>
          </w:p>
          <w:p>
            <w:pPr>
              <w:widowControl w:val="0"/>
              <w:ind w:firstLine="480"/>
              <w:jc w:val="both"/>
            </w:pPr>
            <w:r>
              <w:rPr>
                <w:rFonts w:hint="eastAsia"/>
              </w:rPr>
              <w:t>(五)按照“资源化、减量化、无害化”处置的原则，妥善处置各类固体废物。储油罐油泥、隔油池油渣等危险废物必须严格按照《危险废物贮存污染控制标准》(GB18597-2001)进行收集、贮存，并委托具有危险废物处理资质的单位处置；危险废物临时暂存库应具有“防风、防雨、防渗漏”功能，并规范设置危险废物识别标牌；生活垃圾定点存放，由环卫部门统一收集清运。</w:t>
            </w:r>
          </w:p>
          <w:p>
            <w:pPr>
              <w:widowControl w:val="0"/>
              <w:ind w:firstLine="480"/>
              <w:jc w:val="both"/>
            </w:pPr>
            <w:r>
              <w:rPr>
                <w:rFonts w:hint="eastAsia"/>
              </w:rPr>
              <w:t>(六)强化油气从储运到使用各个环节的事故防范，制定环境突发事件应急预案，并报我局备案。</w:t>
            </w:r>
          </w:p>
          <w:p>
            <w:pPr>
              <w:widowControl w:val="0"/>
              <w:ind w:firstLine="480"/>
              <w:jc w:val="both"/>
            </w:pPr>
            <w:r>
              <w:rPr>
                <w:rFonts w:hint="eastAsia"/>
              </w:rPr>
              <w:t>(七)加强项目的日常管理。建立健全各项环保规章制度和岗位责任制，加强环保设施的运行管理和维护，建立环保设施运行管理台帐，确保污染物稳定达标排放。</w:t>
            </w:r>
          </w:p>
          <w:p>
            <w:pPr>
              <w:widowControl w:val="0"/>
              <w:ind w:firstLine="480"/>
              <w:jc w:val="both"/>
            </w:pPr>
            <w:r>
              <w:rPr>
                <w:rFonts w:hint="eastAsia"/>
              </w:rPr>
              <w:t>三、严格执行环保“三同时”管理制度，即项目需要配套建设的环境保护设施必须与主体工程同时设计、同时施工、同时投产使用.项目竣工后，应按规定开展环境保护验收，验收合格后方可正式投入运营。</w:t>
            </w:r>
          </w:p>
          <w:p>
            <w:pPr>
              <w:widowControl w:val="0"/>
              <w:ind w:firstLine="480"/>
              <w:jc w:val="both"/>
            </w:pPr>
            <w:r>
              <w:rPr>
                <w:rFonts w:hint="eastAsia"/>
              </w:rPr>
              <w:t>四、项目批准后，其性质、规模、地点、采用的生产工艺或者污染防治措施发生重大变动的，建设单位应当重新报批项目的环境影响评价文件。</w:t>
            </w:r>
          </w:p>
          <w:p>
            <w:pPr>
              <w:widowControl w:val="0"/>
              <w:ind w:firstLine="480"/>
              <w:jc w:val="both"/>
            </w:pPr>
            <w:r>
              <w:rPr>
                <w:rFonts w:hint="eastAsia"/>
              </w:rPr>
              <w:t>项目自批准之日起超过五年，方开工建设，其环境影响评价文件应当报我局重新审核。</w:t>
            </w:r>
          </w:p>
          <w:p>
            <w:pPr>
              <w:widowControl w:val="0"/>
              <w:ind w:firstLine="480"/>
              <w:jc w:val="both"/>
            </w:pPr>
            <w:r>
              <w:rPr>
                <w:rFonts w:hint="eastAsia"/>
              </w:rPr>
              <w:t>该项目由郊区环境监察大队负责建设和运行期间的环境监管。</w:t>
            </w:r>
          </w:p>
          <w:p>
            <w:pPr>
              <w:pStyle w:val="14"/>
              <w:jc w:val="right"/>
            </w:pPr>
            <w:r>
              <w:rPr>
                <w:rFonts w:hint="eastAsia"/>
              </w:rPr>
              <w:t>铜陵市郊区环境保护局</w:t>
            </w:r>
          </w:p>
          <w:p>
            <w:pPr>
              <w:widowControl w:val="0"/>
              <w:ind w:firstLine="480"/>
              <w:jc w:val="right"/>
            </w:pPr>
          </w:p>
          <w:p>
            <w:pPr>
              <w:widowControl w:val="0"/>
              <w:ind w:firstLine="480"/>
              <w:jc w:val="right"/>
            </w:pPr>
            <w:r>
              <w:rPr>
                <w:rFonts w:hint="eastAsia"/>
              </w:rPr>
              <w:t>201</w:t>
            </w:r>
            <w:r>
              <w:t>7</w:t>
            </w:r>
            <w:r>
              <w:rPr>
                <w:rFonts w:hint="eastAsia"/>
              </w:rPr>
              <w:t>年</w:t>
            </w:r>
            <w:r>
              <w:t>9</w:t>
            </w:r>
            <w:r>
              <w:rPr>
                <w:rFonts w:hint="eastAsia"/>
              </w:rPr>
              <w:t>月</w:t>
            </w:r>
            <w:r>
              <w:t>8</w:t>
            </w:r>
            <w:r>
              <w:rPr>
                <w:rFonts w:hint="eastAsia"/>
              </w:rPr>
              <w:t>日</w:t>
            </w:r>
          </w:p>
          <w:p>
            <w:pPr>
              <w:widowControl w:val="0"/>
              <w:ind w:firstLine="480"/>
              <w:jc w:val="both"/>
            </w:pPr>
          </w:p>
          <w:p>
            <w:pPr>
              <w:widowControl w:val="0"/>
              <w:ind w:firstLine="0" w:firstLineChars="0"/>
              <w:jc w:val="both"/>
              <w:rPr>
                <w:b/>
                <w:color w:val="000000"/>
              </w:rPr>
            </w:pPr>
          </w:p>
        </w:tc>
      </w:tr>
    </w:tbl>
    <w:p>
      <w:pPr>
        <w:ind w:firstLine="422"/>
        <w:rPr>
          <w:rFonts w:eastAsia="仿宋_GB2312"/>
          <w:b/>
          <w:color w:val="000000"/>
          <w:sz w:val="21"/>
          <w:szCs w:val="21"/>
        </w:rPr>
      </w:pPr>
    </w:p>
    <w:p>
      <w:pPr>
        <w:ind w:firstLine="420"/>
        <w:rPr>
          <w:rFonts w:eastAsia="仿宋_GB2312"/>
          <w:color w:val="000000"/>
          <w:sz w:val="21"/>
          <w:szCs w:val="21"/>
        </w:rPr>
        <w:sectPr>
          <w:pgSz w:w="11906" w:h="16838"/>
          <w:pgMar w:top="1440" w:right="1800" w:bottom="1440" w:left="1800" w:header="708" w:footer="708" w:gutter="0"/>
          <w:pgNumType w:fmt="numberInDash"/>
          <w:cols w:space="720" w:num="1"/>
          <w:docGrid w:linePitch="360" w:charSpace="0"/>
        </w:sectPr>
      </w:pPr>
    </w:p>
    <w:p>
      <w:pPr>
        <w:ind w:firstLine="422"/>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五</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ind w:firstLine="482"/>
              <w:jc w:val="both"/>
              <w:rPr>
                <w:b/>
                <w:bCs/>
              </w:rPr>
            </w:pPr>
            <w:r>
              <w:rPr>
                <w:rFonts w:hint="eastAsia"/>
                <w:b/>
                <w:bCs/>
                <w:color w:val="000000"/>
              </w:rPr>
              <w:t>5.1、</w:t>
            </w:r>
            <w:r>
              <w:rPr>
                <w:b/>
                <w:bCs/>
                <w:color w:val="000000"/>
              </w:rPr>
              <w:t>验收监测质量保证及质量控制：</w:t>
            </w:r>
          </w:p>
          <w:p>
            <w:pPr>
              <w:widowControl w:val="0"/>
              <w:ind w:firstLine="482"/>
              <w:jc w:val="both"/>
              <w:rPr>
                <w:b/>
                <w:bCs/>
              </w:rPr>
            </w:pPr>
            <w:r>
              <w:rPr>
                <w:rFonts w:hint="eastAsia"/>
                <w:b/>
                <w:bCs/>
              </w:rPr>
              <w:t>5.1.1</w:t>
            </w:r>
            <w:r>
              <w:rPr>
                <w:b/>
                <w:bCs/>
              </w:rPr>
              <w:t>质量保证措施</w:t>
            </w:r>
          </w:p>
          <w:p>
            <w:pPr>
              <w:widowControl w:val="0"/>
              <w:adjustRightInd/>
              <w:snapToGrid/>
              <w:ind w:firstLine="480"/>
              <w:jc w:val="both"/>
            </w:pPr>
            <w:bookmarkStart w:id="18" w:name="_Toc521751679"/>
            <w:bookmarkStart w:id="19" w:name="_Toc15275"/>
            <w:bookmarkStart w:id="20" w:name="_Toc518381960"/>
            <w:r>
              <w:t>（1）监测过程中工况负荷满足有关要求；</w:t>
            </w:r>
            <w:bookmarkEnd w:id="18"/>
            <w:bookmarkEnd w:id="19"/>
            <w:bookmarkEnd w:id="20"/>
          </w:p>
          <w:p>
            <w:pPr>
              <w:widowControl w:val="0"/>
              <w:adjustRightInd/>
              <w:snapToGrid/>
              <w:ind w:firstLine="480"/>
              <w:jc w:val="both"/>
            </w:pPr>
            <w:bookmarkStart w:id="21" w:name="_Toc518726130"/>
            <w:bookmarkStart w:id="22" w:name="_Toc521751680"/>
            <w:bookmarkStart w:id="23" w:name="_Toc29972"/>
            <w:bookmarkStart w:id="24" w:name="_Toc518381961"/>
            <w:r>
              <w:t>（2）监测点位布设合理，保证各监测点位的科学性和可比性；</w:t>
            </w:r>
            <w:bookmarkEnd w:id="21"/>
            <w:bookmarkEnd w:id="22"/>
            <w:bookmarkEnd w:id="23"/>
            <w:bookmarkEnd w:id="24"/>
          </w:p>
          <w:p>
            <w:pPr>
              <w:widowControl w:val="0"/>
              <w:adjustRightInd/>
              <w:snapToGrid/>
              <w:ind w:firstLine="480"/>
              <w:jc w:val="both"/>
            </w:pPr>
            <w:bookmarkStart w:id="25" w:name="_Toc518381962"/>
            <w:bookmarkStart w:id="26" w:name="_Toc518726131"/>
            <w:bookmarkStart w:id="27" w:name="_Toc521751681"/>
            <w:bookmarkStart w:id="28" w:name="_Toc10623"/>
            <w:r>
              <w:t>（3）监测分析方法采用国家有关部门颁发的标准分析方法，监测人员经过考核并持有合格证书；</w:t>
            </w:r>
            <w:bookmarkEnd w:id="25"/>
            <w:bookmarkEnd w:id="26"/>
            <w:bookmarkEnd w:id="27"/>
            <w:bookmarkEnd w:id="28"/>
          </w:p>
          <w:p>
            <w:pPr>
              <w:widowControl w:val="0"/>
              <w:adjustRightInd/>
              <w:snapToGrid/>
              <w:ind w:firstLine="480"/>
              <w:jc w:val="both"/>
            </w:pPr>
            <w:bookmarkStart w:id="29" w:name="_Toc521751682"/>
            <w:bookmarkStart w:id="30" w:name="_Toc3259"/>
            <w:bookmarkStart w:id="31" w:name="_Toc518726132"/>
            <w:bookmarkStart w:id="32" w:name="_Toc518381963"/>
            <w:r>
              <w:t>（4）有组织废气、无组织废气、噪声、废水现场监测和实验室监测检定合格，并按照国家环保局发布的《固定污染源监测质量控制与质量保证技术规范1》</w:t>
            </w:r>
            <w:r>
              <w:rPr>
                <w:rFonts w:hint="eastAsia"/>
              </w:rPr>
              <w:t>、</w:t>
            </w:r>
            <w:r>
              <w:t>《环境监测质量管理技术导则》及《水污染物排放总量监测技术规范》的要求进行全过程质量控制，声级计测量前后均进行了校准；</w:t>
            </w:r>
            <w:bookmarkEnd w:id="29"/>
            <w:bookmarkEnd w:id="30"/>
            <w:bookmarkEnd w:id="31"/>
            <w:bookmarkEnd w:id="32"/>
          </w:p>
          <w:p>
            <w:pPr>
              <w:widowControl w:val="0"/>
              <w:adjustRightInd/>
              <w:snapToGrid/>
              <w:ind w:firstLine="480"/>
              <w:jc w:val="both"/>
            </w:pPr>
            <w:bookmarkStart w:id="33" w:name="_Toc518726133"/>
            <w:bookmarkStart w:id="34" w:name="_Toc14907"/>
            <w:bookmarkStart w:id="35" w:name="_Toc521751683"/>
            <w:bookmarkStart w:id="36" w:name="_Toc518381964"/>
            <w:r>
              <w:t>（5）在监测期间，样品采集､运输､保存参考国家标准，保证验收监测分析结果的准确可靠；</w:t>
            </w:r>
            <w:bookmarkEnd w:id="33"/>
            <w:bookmarkEnd w:id="34"/>
            <w:bookmarkEnd w:id="35"/>
            <w:bookmarkEnd w:id="36"/>
          </w:p>
          <w:p>
            <w:pPr>
              <w:widowControl w:val="0"/>
              <w:adjustRightInd/>
              <w:snapToGrid/>
              <w:ind w:firstLine="480"/>
              <w:jc w:val="both"/>
              <w:rPr>
                <w:color w:val="000000"/>
              </w:rPr>
            </w:pPr>
            <w:bookmarkStart w:id="37" w:name="_Toc25102"/>
            <w:bookmarkStart w:id="38" w:name="_Toc521751684"/>
            <w:bookmarkStart w:id="39" w:name="_Toc518381965"/>
            <w:bookmarkStart w:id="40" w:name="_Toc518726134"/>
            <w:r>
              <w:t>（6）为确保实验室分析质量，对化验室分析进行发放盲样质控样品的质控措施；监测数据严格实行三级审核制度，经过校对、校核，最后由技术负责人审定。</w:t>
            </w:r>
            <w:bookmarkEnd w:id="37"/>
            <w:bookmarkEnd w:id="38"/>
            <w:bookmarkEnd w:id="39"/>
            <w:bookmarkEnd w:id="40"/>
          </w:p>
          <w:p>
            <w:pPr>
              <w:widowControl w:val="0"/>
              <w:ind w:firstLine="482"/>
              <w:jc w:val="both"/>
              <w:rPr>
                <w:b/>
                <w:bCs/>
              </w:rPr>
            </w:pPr>
            <w:bookmarkStart w:id="41" w:name="_Toc32105"/>
            <w:r>
              <w:rPr>
                <w:rFonts w:hint="eastAsia"/>
                <w:b/>
                <w:bCs/>
              </w:rPr>
              <w:t>5.1.2</w:t>
            </w:r>
            <w:bookmarkEnd w:id="41"/>
            <w:r>
              <w:rPr>
                <w:rFonts w:hint="eastAsia"/>
                <w:b/>
                <w:bCs/>
              </w:rPr>
              <w:t>检测项目分析方法、检测仪器统计表</w:t>
            </w:r>
          </w:p>
          <w:p>
            <w:pPr>
              <w:pStyle w:val="28"/>
              <w:widowControl w:val="0"/>
              <w:rPr>
                <w:rFonts w:hint="eastAsia"/>
                <w:b/>
                <w:bCs/>
                <w:sz w:val="24"/>
                <w:szCs w:val="24"/>
              </w:rPr>
            </w:pPr>
            <w:bookmarkStart w:id="42" w:name="_Toc518726136"/>
            <w:bookmarkStart w:id="43" w:name="_Toc29774"/>
            <w:bookmarkStart w:id="44" w:name="_Toc521751686"/>
            <w:bookmarkStart w:id="45" w:name="_Toc518381967"/>
            <w:r>
              <w:rPr>
                <w:b/>
                <w:bCs/>
                <w:sz w:val="24"/>
                <w:szCs w:val="24"/>
              </w:rPr>
              <w:t>表5-1</w:t>
            </w:r>
            <w:r>
              <w:rPr>
                <w:rFonts w:hint="eastAsia"/>
                <w:b/>
                <w:bCs/>
                <w:sz w:val="24"/>
                <w:szCs w:val="24"/>
              </w:rPr>
              <w:t xml:space="preserve"> </w:t>
            </w:r>
            <w:bookmarkEnd w:id="42"/>
            <w:bookmarkEnd w:id="43"/>
            <w:bookmarkEnd w:id="44"/>
            <w:bookmarkEnd w:id="45"/>
            <w:r>
              <w:rPr>
                <w:rFonts w:hint="eastAsia"/>
                <w:b/>
                <w:bCs/>
                <w:sz w:val="24"/>
                <w:szCs w:val="24"/>
              </w:rPr>
              <w:t>检测项目分析方法、检测仪器统计表</w:t>
            </w:r>
          </w:p>
          <w:p>
            <w:pPr>
              <w:pStyle w:val="27"/>
              <w:widowControl w:val="0"/>
              <w:rPr>
                <w:rFonts w:hint="eastAsia" w:eastAsia="宋体"/>
                <w:lang w:eastAsia="zh-CN"/>
              </w:rPr>
            </w:pPr>
            <w:r>
              <w:rPr>
                <w:rFonts w:hint="eastAsia" w:eastAsia="宋体"/>
                <w:lang w:eastAsia="zh-CN"/>
              </w:rPr>
              <w:drawing>
                <wp:inline distT="0" distB="0" distL="114300" distR="114300">
                  <wp:extent cx="5266690" cy="1177925"/>
                  <wp:effectExtent l="0" t="0" r="3810" b="3175"/>
                  <wp:docPr id="25" name="图片 25" descr="截图2021083108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截图20210831083606"/>
                          <pic:cNvPicPr>
                            <a:picLocks noChangeAspect="1"/>
                          </pic:cNvPicPr>
                        </pic:nvPicPr>
                        <pic:blipFill>
                          <a:blip r:embed="rId22"/>
                          <a:stretch>
                            <a:fillRect/>
                          </a:stretch>
                        </pic:blipFill>
                        <pic:spPr>
                          <a:xfrm>
                            <a:off x="0" y="0"/>
                            <a:ext cx="5266690" cy="1177925"/>
                          </a:xfrm>
                          <a:prstGeom prst="rect">
                            <a:avLst/>
                          </a:prstGeom>
                        </pic:spPr>
                      </pic:pic>
                    </a:graphicData>
                  </a:graphic>
                </wp:inline>
              </w:drawing>
            </w:r>
          </w:p>
          <w:p>
            <w:pPr>
              <w:widowControl w:val="0"/>
              <w:ind w:firstLine="0" w:firstLineChars="0"/>
              <w:jc w:val="both"/>
              <w:rPr>
                <w:rFonts w:ascii="宋体" w:hAnsi="宋体" w:cs="宋体"/>
                <w:b/>
                <w:bCs/>
              </w:rPr>
            </w:pPr>
            <w:bookmarkStart w:id="46" w:name="_Toc518381988"/>
            <w:bookmarkStart w:id="47" w:name="_Toc30964"/>
            <w:r>
              <w:rPr>
                <w:rFonts w:hint="eastAsia" w:ascii="宋体" w:hAnsi="宋体" w:cs="宋体"/>
                <w:b/>
                <w:bCs/>
              </w:rPr>
              <w:t>5.1.3</w:t>
            </w:r>
            <w:bookmarkEnd w:id="46"/>
            <w:bookmarkEnd w:id="47"/>
            <w:r>
              <w:rPr>
                <w:rFonts w:hint="eastAsia" w:ascii="宋体" w:hAnsi="宋体" w:cs="宋体"/>
                <w:b/>
                <w:bCs/>
              </w:rPr>
              <w:t xml:space="preserve">检测分析人员、仪器设备 </w:t>
            </w:r>
          </w:p>
          <w:p>
            <w:pPr>
              <w:pStyle w:val="27"/>
              <w:widowControl w:val="0"/>
              <w:rPr>
                <w:rFonts w:hint="eastAsia"/>
                <w:b/>
                <w:bCs/>
                <w:sz w:val="24"/>
                <w:szCs w:val="24"/>
              </w:rPr>
            </w:pPr>
            <w:r>
              <w:rPr>
                <w:b/>
                <w:bCs/>
                <w:sz w:val="24"/>
                <w:szCs w:val="24"/>
              </w:rPr>
              <w:t>表5-2</w:t>
            </w:r>
            <w:r>
              <w:rPr>
                <w:rFonts w:hint="eastAsia"/>
                <w:b/>
                <w:bCs/>
                <w:sz w:val="24"/>
                <w:szCs w:val="24"/>
              </w:rPr>
              <w:t>检测分析人员、仪器设备资质情况一览表</w:t>
            </w:r>
          </w:p>
          <w:p>
            <w:pPr>
              <w:widowControl w:val="0"/>
              <w:ind w:left="0" w:leftChars="0" w:firstLine="0" w:firstLineChars="0"/>
              <w:jc w:val="both"/>
              <w:rPr>
                <w:rFonts w:hint="eastAsia" w:eastAsia="宋体"/>
                <w:lang w:eastAsia="zh-CN"/>
              </w:rPr>
            </w:pPr>
            <w:r>
              <w:rPr>
                <w:rFonts w:hint="eastAsia" w:eastAsia="宋体"/>
                <w:lang w:eastAsia="zh-CN"/>
              </w:rPr>
              <w:drawing>
                <wp:inline distT="0" distB="0" distL="114300" distR="114300">
                  <wp:extent cx="5016500" cy="2616200"/>
                  <wp:effectExtent l="0" t="0" r="0" b="0"/>
                  <wp:docPr id="27" name="图片 27" descr="截图2021083108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图20210831083815"/>
                          <pic:cNvPicPr>
                            <a:picLocks noChangeAspect="1"/>
                          </pic:cNvPicPr>
                        </pic:nvPicPr>
                        <pic:blipFill>
                          <a:blip r:embed="rId23"/>
                          <a:stretch>
                            <a:fillRect/>
                          </a:stretch>
                        </pic:blipFill>
                        <pic:spPr>
                          <a:xfrm>
                            <a:off x="0" y="0"/>
                            <a:ext cx="5016500" cy="2616200"/>
                          </a:xfrm>
                          <a:prstGeom prst="rect">
                            <a:avLst/>
                          </a:prstGeom>
                        </pic:spPr>
                      </pic:pic>
                    </a:graphicData>
                  </a:graphic>
                </wp:inline>
              </w:drawing>
            </w:r>
          </w:p>
          <w:p>
            <w:pPr>
              <w:pStyle w:val="27"/>
              <w:widowControl w:val="0"/>
              <w:jc w:val="both"/>
              <w:rPr>
                <w:b/>
                <w:bCs/>
              </w:rPr>
            </w:pPr>
            <w:bookmarkStart w:id="48" w:name="_Toc27629"/>
            <w:r>
              <w:rPr>
                <w:rFonts w:hint="eastAsia"/>
                <w:b/>
                <w:bCs/>
              </w:rPr>
              <w:t>5.1.5仪器</w:t>
            </w:r>
            <w:r>
              <w:rPr>
                <w:b/>
                <w:bCs/>
              </w:rPr>
              <w:t>监测前后校准记录</w:t>
            </w:r>
            <w:bookmarkEnd w:id="48"/>
          </w:p>
          <w:p>
            <w:pPr>
              <w:widowControl w:val="0"/>
              <w:ind w:firstLine="0" w:firstLineChars="0"/>
              <w:jc w:val="both"/>
            </w:pPr>
          </w:p>
          <w:p>
            <w:pPr>
              <w:widowControl w:val="0"/>
              <w:ind w:firstLine="0" w:firstLineChars="0"/>
              <w:jc w:val="both"/>
              <w:rPr>
                <w:rFonts w:hint="eastAsia" w:eastAsia="宋体"/>
                <w:lang w:eastAsia="zh-CN"/>
              </w:rPr>
            </w:pPr>
            <w:r>
              <w:rPr>
                <w:rFonts w:hint="eastAsia" w:eastAsia="宋体"/>
                <w:lang w:eastAsia="zh-CN"/>
              </w:rPr>
              <w:drawing>
                <wp:inline distT="0" distB="0" distL="114300" distR="114300">
                  <wp:extent cx="5099050" cy="1054100"/>
                  <wp:effectExtent l="0" t="0" r="6350" b="0"/>
                  <wp:docPr id="30" name="图片 30" descr="截图202108310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截图20210831083954"/>
                          <pic:cNvPicPr>
                            <a:picLocks noChangeAspect="1"/>
                          </pic:cNvPicPr>
                        </pic:nvPicPr>
                        <pic:blipFill>
                          <a:blip r:embed="rId24"/>
                          <a:stretch>
                            <a:fillRect/>
                          </a:stretch>
                        </pic:blipFill>
                        <pic:spPr>
                          <a:xfrm>
                            <a:off x="0" y="0"/>
                            <a:ext cx="5099050" cy="1054100"/>
                          </a:xfrm>
                          <a:prstGeom prst="rect">
                            <a:avLst/>
                          </a:prstGeom>
                        </pic:spPr>
                      </pic:pic>
                    </a:graphicData>
                  </a:graphic>
                </wp:inline>
              </w:drawing>
            </w:r>
          </w:p>
        </w:tc>
      </w:tr>
    </w:tbl>
    <w:p>
      <w:pPr>
        <w:ind w:firstLine="0" w:firstLineChars="0"/>
        <w:rPr>
          <w:rFonts w:eastAsia="仿宋_GB2312"/>
          <w:b/>
          <w:color w:val="000000"/>
          <w:sz w:val="21"/>
          <w:szCs w:val="21"/>
        </w:rPr>
        <w:sectPr>
          <w:pgSz w:w="11906" w:h="16838"/>
          <w:pgMar w:top="1440" w:right="1800" w:bottom="1440" w:left="1800" w:header="708" w:footer="708" w:gutter="0"/>
          <w:pgNumType w:fmt="numberInDash"/>
          <w:cols w:space="720" w:num="1"/>
          <w:docGrid w:linePitch="360" w:charSpace="0"/>
        </w:sectPr>
      </w:pPr>
    </w:p>
    <w:p>
      <w:pPr>
        <w:ind w:firstLine="0" w:firstLineChars="0"/>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六</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ind w:firstLine="0" w:firstLineChars="0"/>
              <w:jc w:val="both"/>
              <w:rPr>
                <w:color w:val="000000"/>
              </w:rPr>
            </w:pPr>
          </w:p>
          <w:p>
            <w:pPr>
              <w:widowControl/>
              <w:ind w:firstLine="0" w:firstLineChars="0"/>
              <w:jc w:val="both"/>
              <w:rPr>
                <w:b/>
                <w:bCs/>
                <w:color w:val="000000"/>
              </w:rPr>
            </w:pPr>
            <w:r>
              <w:rPr>
                <w:rFonts w:hint="eastAsia"/>
                <w:b/>
                <w:bCs/>
                <w:color w:val="000000"/>
              </w:rPr>
              <w:t>6.1、验收的监测点位</w:t>
            </w:r>
          </w:p>
          <w:p>
            <w:pPr>
              <w:widowControl/>
              <w:ind w:firstLine="0" w:firstLineChars="0"/>
              <w:jc w:val="both"/>
              <w:rPr>
                <w:rFonts w:hint="eastAsia"/>
              </w:rPr>
            </w:pPr>
            <w:r>
              <w:rPr>
                <w:rFonts w:hint="eastAsia"/>
                <w:b/>
                <w:bCs/>
                <w:color w:val="000000"/>
              </w:rPr>
              <w:t>6.1.1</w:t>
            </w:r>
            <w:r>
              <w:rPr>
                <w:rFonts w:hint="eastAsia"/>
              </w:rPr>
              <w:t>项目无组织废气环境空气及噪声监测布点位置如下图所示：</w:t>
            </w:r>
          </w:p>
          <w:p>
            <w:pPr>
              <w:pStyle w:val="6"/>
              <w:widowControl w:val="0"/>
              <w:ind w:left="0" w:leftChars="0" w:firstLine="0" w:firstLineChars="0"/>
              <w:jc w:val="both"/>
              <w:rPr>
                <w:rFonts w:hint="eastAsia" w:eastAsia="宋体"/>
                <w:lang w:eastAsia="zh-CN"/>
              </w:rPr>
            </w:pPr>
            <w:r>
              <w:rPr>
                <w:rFonts w:hint="eastAsia" w:eastAsia="宋体"/>
                <w:lang w:eastAsia="zh-CN"/>
              </w:rPr>
              <w:drawing>
                <wp:inline distT="0" distB="0" distL="114300" distR="114300">
                  <wp:extent cx="5016500" cy="4983480"/>
                  <wp:effectExtent l="0" t="0" r="0" b="7620"/>
                  <wp:docPr id="33" name="图片 33" descr="截图202108310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截图20210831084115"/>
                          <pic:cNvPicPr>
                            <a:picLocks noChangeAspect="1"/>
                          </pic:cNvPicPr>
                        </pic:nvPicPr>
                        <pic:blipFill>
                          <a:blip r:embed="rId25"/>
                          <a:stretch>
                            <a:fillRect/>
                          </a:stretch>
                        </pic:blipFill>
                        <pic:spPr>
                          <a:xfrm>
                            <a:off x="0" y="0"/>
                            <a:ext cx="5016500" cy="4983480"/>
                          </a:xfrm>
                          <a:prstGeom prst="rect">
                            <a:avLst/>
                          </a:prstGeom>
                        </pic:spPr>
                      </pic:pic>
                    </a:graphicData>
                  </a:graphic>
                </wp:inline>
              </w:drawing>
            </w:r>
          </w:p>
          <w:p>
            <w:pPr>
              <w:widowControl/>
              <w:ind w:firstLine="0" w:firstLineChars="0"/>
              <w:jc w:val="both"/>
              <w:rPr>
                <w:rFonts w:hint="eastAsia" w:eastAsia="宋体"/>
                <w:color w:val="000000"/>
                <w:lang w:eastAsia="zh-CN"/>
              </w:rPr>
            </w:pPr>
            <w:r>
              <w:rPr>
                <w:rFonts w:hint="eastAsia"/>
                <w:color w:val="000000"/>
              </w:rPr>
              <w:t>6.2、</w:t>
            </w:r>
            <w:r>
              <w:rPr>
                <w:color w:val="000000"/>
              </w:rPr>
              <w:t>验收监测内容</w:t>
            </w:r>
            <w:r>
              <w:rPr>
                <w:rFonts w:hint="eastAsia"/>
                <w:color w:val="000000"/>
                <w:lang w:eastAsia="zh-CN"/>
              </w:rPr>
              <w:t>：</w:t>
            </w:r>
          </w:p>
          <w:p>
            <w:pPr>
              <w:pStyle w:val="6"/>
              <w:widowControl w:val="0"/>
              <w:ind w:firstLine="0" w:firstLineChars="0"/>
              <w:jc w:val="both"/>
              <w:outlineLvl w:val="3"/>
            </w:pPr>
            <w:bookmarkStart w:id="49" w:name="_Toc4286"/>
            <w:r>
              <w:drawing>
                <wp:inline distT="0" distB="0" distL="114300" distR="114300">
                  <wp:extent cx="5274310" cy="3954145"/>
                  <wp:effectExtent l="0" t="0" r="8890" b="825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6"/>
                          <a:stretch>
                            <a:fillRect/>
                          </a:stretch>
                        </pic:blipFill>
                        <pic:spPr>
                          <a:xfrm>
                            <a:off x="0" y="0"/>
                            <a:ext cx="5274310" cy="3954145"/>
                          </a:xfrm>
                          <a:prstGeom prst="rect">
                            <a:avLst/>
                          </a:prstGeom>
                          <a:noFill/>
                          <a:ln>
                            <a:noFill/>
                          </a:ln>
                        </pic:spPr>
                      </pic:pic>
                    </a:graphicData>
                  </a:graphic>
                </wp:inline>
              </w:drawing>
            </w:r>
            <w:bookmarkEnd w:id="49"/>
          </w:p>
          <w:p>
            <w:pPr>
              <w:widowControl/>
              <w:ind w:firstLine="0" w:firstLineChars="0"/>
              <w:jc w:val="both"/>
            </w:pPr>
          </w:p>
          <w:p>
            <w:pPr>
              <w:pStyle w:val="13"/>
              <w:widowControl w:val="0"/>
              <w:ind w:left="0" w:leftChars="0" w:firstLine="0" w:firstLineChars="0"/>
              <w:jc w:val="both"/>
            </w:pPr>
          </w:p>
        </w:tc>
      </w:tr>
    </w:tbl>
    <w:p>
      <w:pPr>
        <w:ind w:firstLine="0" w:firstLineChars="0"/>
        <w:rPr>
          <w:rFonts w:eastAsia="仿宋_GB2312"/>
          <w:b/>
          <w:color w:val="000000"/>
          <w:sz w:val="21"/>
          <w:szCs w:val="21"/>
        </w:rPr>
        <w:sectPr>
          <w:pgSz w:w="11906" w:h="16838"/>
          <w:pgMar w:top="1440" w:right="1800" w:bottom="1440" w:left="1800" w:header="708" w:footer="708" w:gutter="0"/>
          <w:pgNumType w:fmt="numberInDash"/>
          <w:cols w:space="720" w:num="1"/>
          <w:docGrid w:linePitch="360" w:charSpace="0"/>
        </w:sectPr>
      </w:pPr>
    </w:p>
    <w:p>
      <w:pPr>
        <w:ind w:firstLine="0" w:firstLineChars="0"/>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七</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8522" w:type="dxa"/>
          </w:tcPr>
          <w:p>
            <w:pPr>
              <w:widowControl w:val="0"/>
              <w:spacing w:before="62"/>
              <w:ind w:firstLine="480"/>
              <w:jc w:val="both"/>
            </w:pPr>
            <w:r>
              <w:t>验收监测期间生产工况记录：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widowControl w:val="0"/>
              <w:spacing w:before="48" w:beforeLines="20"/>
              <w:ind w:firstLine="480"/>
              <w:jc w:val="both"/>
            </w:pPr>
            <w:r>
              <w:rPr>
                <w:rFonts w:hint="eastAsia"/>
              </w:rPr>
              <w:t>验收监测结果：</w:t>
            </w:r>
          </w:p>
          <w:p>
            <w:pPr>
              <w:widowControl/>
              <w:numPr>
                <w:ilvl w:val="0"/>
                <w:numId w:val="9"/>
              </w:numPr>
              <w:ind w:left="0" w:firstLine="480"/>
              <w:jc w:val="both"/>
            </w:pPr>
            <w:r>
              <w:rPr>
                <w:rFonts w:hint="eastAsia"/>
              </w:rPr>
              <w:t>废气监测</w:t>
            </w:r>
            <w:r>
              <w:rPr>
                <w:rFonts w:hint="eastAsia"/>
                <w:lang w:val="en-US" w:eastAsia="zh-CN"/>
              </w:rPr>
              <w:t>结果</w:t>
            </w:r>
          </w:p>
          <w:p>
            <w:pPr>
              <w:widowControl w:val="0"/>
              <w:ind w:firstLine="480"/>
              <w:jc w:val="both"/>
              <w:rPr>
                <w:rFonts w:hint="eastAsia"/>
              </w:rPr>
            </w:pPr>
            <w:r>
              <w:drawing>
                <wp:inline distT="0" distB="0" distL="114300" distR="114300">
                  <wp:extent cx="5273675" cy="6489065"/>
                  <wp:effectExtent l="0" t="0" r="9525" b="63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7"/>
                          <a:stretch>
                            <a:fillRect/>
                          </a:stretch>
                        </pic:blipFill>
                        <pic:spPr>
                          <a:xfrm>
                            <a:off x="0" y="0"/>
                            <a:ext cx="5273675" cy="6489065"/>
                          </a:xfrm>
                          <a:prstGeom prst="rect">
                            <a:avLst/>
                          </a:prstGeom>
                          <a:noFill/>
                          <a:ln>
                            <a:noFill/>
                          </a:ln>
                        </pic:spPr>
                      </pic:pic>
                    </a:graphicData>
                  </a:graphic>
                </wp:inline>
              </w:drawing>
            </w:r>
            <w:r>
              <w:drawing>
                <wp:inline distT="0" distB="0" distL="114300" distR="114300">
                  <wp:extent cx="5269230" cy="4425950"/>
                  <wp:effectExtent l="0" t="0" r="1270" b="635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8"/>
                          <a:stretch>
                            <a:fillRect/>
                          </a:stretch>
                        </pic:blipFill>
                        <pic:spPr>
                          <a:xfrm>
                            <a:off x="0" y="0"/>
                            <a:ext cx="5269230" cy="442595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监</w:t>
            </w:r>
            <w:r>
              <w:t>测结果表明：</w:t>
            </w:r>
            <w:r>
              <w:rPr>
                <w:rFonts w:hint="eastAsia"/>
              </w:rPr>
              <w:t>在</w:t>
            </w:r>
            <w:r>
              <w:t>验收监测期间，项目</w:t>
            </w:r>
            <w:r>
              <w:rPr>
                <w:rFonts w:hint="eastAsia"/>
              </w:rPr>
              <w:t>厂界无</w:t>
            </w:r>
            <w:r>
              <w:t>组织废气</w:t>
            </w:r>
            <w:r>
              <w:rPr>
                <w:rFonts w:hint="eastAsia"/>
              </w:rPr>
              <w:t>中非甲烷总烃</w:t>
            </w:r>
            <w:r>
              <w:t>浓度最大值满足</w:t>
            </w:r>
            <w:r>
              <w:rPr>
                <w:rFonts w:hint="eastAsia"/>
              </w:rPr>
              <w:t>无组织挥发性有机物执行《挥发性有机物无组织排放控制标准》(GB37822-2019)中限值要求</w:t>
            </w:r>
            <w:r>
              <w:t>。</w:t>
            </w:r>
            <w:r>
              <w:rPr>
                <w:rFonts w:hint="eastAsia"/>
              </w:rPr>
              <w:t xml:space="preserve"> </w:t>
            </w:r>
          </w:p>
          <w:p>
            <w:pPr>
              <w:pStyle w:val="2"/>
              <w:widowControl w:val="0"/>
              <w:numPr>
                <w:ilvl w:val="0"/>
                <w:numId w:val="10"/>
              </w:numPr>
              <w:ind w:left="0" w:leftChars="0" w:firstLine="0" w:firstLineChars="0"/>
              <w:jc w:val="both"/>
              <w:rPr>
                <w:rFonts w:hint="eastAsia"/>
                <w:lang w:val="en-US" w:eastAsia="zh-CN"/>
              </w:rPr>
            </w:pPr>
            <w:r>
              <w:rPr>
                <w:rFonts w:hint="eastAsia"/>
                <w:lang w:val="en-US" w:eastAsia="zh-CN"/>
              </w:rPr>
              <w:t>油气回收监测</w:t>
            </w:r>
          </w:p>
          <w:p>
            <w:pPr>
              <w:pStyle w:val="2"/>
              <w:widowControl w:val="0"/>
              <w:numPr>
                <w:ilvl w:val="0"/>
                <w:numId w:val="0"/>
              </w:numPr>
              <w:ind w:leftChars="0"/>
              <w:jc w:val="both"/>
            </w:pPr>
            <w:r>
              <w:drawing>
                <wp:inline distT="0" distB="0" distL="114300" distR="114300">
                  <wp:extent cx="4978400" cy="3670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4978400" cy="3670300"/>
                          </a:xfrm>
                          <a:prstGeom prst="rect">
                            <a:avLst/>
                          </a:prstGeom>
                          <a:noFill/>
                          <a:ln>
                            <a:noFill/>
                          </a:ln>
                        </pic:spPr>
                      </pic:pic>
                    </a:graphicData>
                  </a:graphic>
                </wp:inline>
              </w:drawing>
            </w:r>
          </w:p>
          <w:p>
            <w:pPr>
              <w:pStyle w:val="2"/>
              <w:widowControl w:val="0"/>
              <w:numPr>
                <w:ilvl w:val="0"/>
                <w:numId w:val="0"/>
              </w:numPr>
              <w:ind w:leftChars="0"/>
              <w:jc w:val="both"/>
            </w:pPr>
            <w:r>
              <w:drawing>
                <wp:inline distT="0" distB="0" distL="114300" distR="114300">
                  <wp:extent cx="4984750" cy="4019550"/>
                  <wp:effectExtent l="0" t="0" r="635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0"/>
                          <a:stretch>
                            <a:fillRect/>
                          </a:stretch>
                        </pic:blipFill>
                        <pic:spPr>
                          <a:xfrm>
                            <a:off x="0" y="0"/>
                            <a:ext cx="4984750" cy="4019550"/>
                          </a:xfrm>
                          <a:prstGeom prst="rect">
                            <a:avLst/>
                          </a:prstGeom>
                          <a:noFill/>
                          <a:ln>
                            <a:noFill/>
                          </a:ln>
                        </pic:spPr>
                      </pic:pic>
                    </a:graphicData>
                  </a:graphic>
                </wp:inline>
              </w:drawing>
            </w:r>
          </w:p>
          <w:p>
            <w:pPr>
              <w:pStyle w:val="2"/>
              <w:widowControl w:val="0"/>
              <w:numPr>
                <w:ilvl w:val="0"/>
                <w:numId w:val="0"/>
              </w:numPr>
              <w:ind w:leftChars="0"/>
              <w:jc w:val="both"/>
            </w:pPr>
            <w:r>
              <w:drawing>
                <wp:inline distT="0" distB="0" distL="114300" distR="114300">
                  <wp:extent cx="4864100" cy="2876550"/>
                  <wp:effectExtent l="0" t="0" r="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1"/>
                          <a:stretch>
                            <a:fillRect/>
                          </a:stretch>
                        </pic:blipFill>
                        <pic:spPr>
                          <a:xfrm>
                            <a:off x="0" y="0"/>
                            <a:ext cx="4864100" cy="2876550"/>
                          </a:xfrm>
                          <a:prstGeom prst="rect">
                            <a:avLst/>
                          </a:prstGeom>
                          <a:noFill/>
                          <a:ln>
                            <a:noFill/>
                          </a:ln>
                        </pic:spPr>
                      </pic:pic>
                    </a:graphicData>
                  </a:graphic>
                </wp:inline>
              </w:drawing>
            </w:r>
          </w:p>
          <w:p>
            <w:pPr>
              <w:pStyle w:val="2"/>
              <w:widowControl w:val="0"/>
              <w:numPr>
                <w:ilvl w:val="0"/>
                <w:numId w:val="0"/>
              </w:numPr>
              <w:ind w:leftChars="0" w:firstLine="480" w:firstLineChars="200"/>
              <w:jc w:val="both"/>
              <w:rPr>
                <w:rFonts w:hint="default"/>
                <w:lang w:val="en-US" w:eastAsia="zh-CN"/>
              </w:rPr>
            </w:pPr>
            <w:r>
              <w:t>监测结果表明，</w:t>
            </w:r>
            <w:r>
              <w:rPr>
                <w:rFonts w:hint="eastAsia"/>
              </w:rPr>
              <w:t>验收监测期间</w:t>
            </w:r>
            <w:r>
              <w:t>，</w:t>
            </w:r>
            <w:r>
              <w:rPr>
                <w:rFonts w:hint="eastAsia"/>
                <w:szCs w:val="24"/>
                <w:lang w:val="en-US" w:eastAsia="zh-CN"/>
              </w:rPr>
              <w:t>加油油气回收管线液阻检测值小于</w:t>
            </w:r>
            <w:r>
              <w:rPr>
                <w:szCs w:val="24"/>
              </w:rPr>
              <w:t>《加油站大气污染物排放标准》（GB20952-2</w:t>
            </w:r>
            <w:r>
              <w:rPr>
                <w:rFonts w:hint="eastAsia"/>
                <w:szCs w:val="24"/>
                <w:lang w:val="en-US" w:eastAsia="zh-CN"/>
              </w:rPr>
              <w:t>020</w:t>
            </w:r>
            <w:r>
              <w:rPr>
                <w:szCs w:val="24"/>
              </w:rPr>
              <w:t>）</w:t>
            </w:r>
            <w:r>
              <w:rPr>
                <w:rFonts w:hint="eastAsia"/>
                <w:szCs w:val="24"/>
                <w:lang w:val="en-US" w:eastAsia="zh-CN"/>
              </w:rPr>
              <w:t>表1限值；油气回收系统密闭性压力检测值471Pa大于</w:t>
            </w:r>
            <w:r>
              <w:rPr>
                <w:szCs w:val="24"/>
              </w:rPr>
              <w:t>《加油站大气污染物排放标准》（GB20952-2</w:t>
            </w:r>
            <w:r>
              <w:rPr>
                <w:rFonts w:hint="eastAsia"/>
                <w:szCs w:val="24"/>
                <w:lang w:val="en-US" w:eastAsia="zh-CN"/>
              </w:rPr>
              <w:t>020</w:t>
            </w:r>
            <w:r>
              <w:rPr>
                <w:szCs w:val="24"/>
              </w:rPr>
              <w:t>）</w:t>
            </w:r>
            <w:r>
              <w:rPr>
                <w:rFonts w:hint="eastAsia"/>
                <w:szCs w:val="24"/>
                <w:lang w:val="en-US" w:eastAsia="zh-CN"/>
              </w:rPr>
              <w:t>表2中最小剩余压力限值限值446Pa；加油油气回收系统气液比为1.04，满足</w:t>
            </w:r>
            <w:r>
              <w:rPr>
                <w:szCs w:val="24"/>
              </w:rPr>
              <w:t>《加油站大气污染物排放标准》（GB20952-2</w:t>
            </w:r>
            <w:r>
              <w:rPr>
                <w:rFonts w:hint="eastAsia"/>
                <w:szCs w:val="24"/>
                <w:lang w:val="en-US" w:eastAsia="zh-CN"/>
              </w:rPr>
              <w:t>020</w:t>
            </w:r>
            <w:r>
              <w:rPr>
                <w:szCs w:val="24"/>
              </w:rPr>
              <w:t>）中</w:t>
            </w:r>
            <w:r>
              <w:rPr>
                <w:rFonts w:hint="eastAsia"/>
                <w:szCs w:val="24"/>
                <w:lang w:val="en-US" w:eastAsia="zh-CN"/>
              </w:rPr>
              <w:t>应大于1.0和小于等于1.2的要求</w:t>
            </w:r>
            <w:r>
              <w:rPr>
                <w:rFonts w:hint="eastAsia"/>
                <w:szCs w:val="24"/>
                <w:lang w:eastAsia="zh-CN"/>
              </w:rPr>
              <w:t>。</w:t>
            </w:r>
          </w:p>
          <w:p>
            <w:pPr>
              <w:widowControl/>
              <w:spacing w:line="240" w:lineRule="auto"/>
              <w:ind w:firstLine="0" w:firstLineChars="0"/>
              <w:jc w:val="both"/>
            </w:pPr>
            <w:r>
              <w:rPr>
                <w:rFonts w:hint="eastAsia"/>
              </w:rPr>
              <w:t>3、噪声监测结果</w:t>
            </w:r>
          </w:p>
          <w:p>
            <w:pPr>
              <w:pStyle w:val="27"/>
              <w:widowControl w:val="0"/>
              <w:jc w:val="left"/>
            </w:pPr>
            <w:r>
              <w:drawing>
                <wp:inline distT="0" distB="0" distL="114300" distR="114300">
                  <wp:extent cx="5271135" cy="3494405"/>
                  <wp:effectExtent l="0" t="0" r="12065" b="1079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2"/>
                          <a:stretch>
                            <a:fillRect/>
                          </a:stretch>
                        </pic:blipFill>
                        <pic:spPr>
                          <a:xfrm>
                            <a:off x="0" y="0"/>
                            <a:ext cx="5271135" cy="3494405"/>
                          </a:xfrm>
                          <a:prstGeom prst="rect">
                            <a:avLst/>
                          </a:prstGeom>
                          <a:noFill/>
                          <a:ln>
                            <a:noFill/>
                          </a:ln>
                        </pic:spPr>
                      </pic:pic>
                    </a:graphicData>
                  </a:graphic>
                </wp:inline>
              </w:drawing>
            </w:r>
          </w:p>
          <w:p>
            <w:pPr>
              <w:pStyle w:val="27"/>
              <w:widowControl w:val="0"/>
              <w:jc w:val="both"/>
            </w:pPr>
          </w:p>
          <w:p>
            <w:pPr>
              <w:pStyle w:val="18"/>
              <w:widowControl w:val="0"/>
              <w:spacing w:line="360" w:lineRule="auto"/>
              <w:ind w:firstLine="480"/>
              <w:jc w:val="both"/>
            </w:pPr>
            <w:r>
              <w:t>监测结果表明，</w:t>
            </w:r>
            <w:r>
              <w:rPr>
                <w:rFonts w:hint="eastAsia"/>
              </w:rPr>
              <w:t>验收监测期间</w:t>
            </w:r>
            <w:r>
              <w:t>，项目在</w:t>
            </w:r>
            <w:r>
              <w:rPr>
                <w:rFonts w:hint="eastAsia"/>
              </w:rPr>
              <w:t>营运</w:t>
            </w:r>
            <w:r>
              <w:t>过程中昼间噪声在</w:t>
            </w:r>
            <w:r>
              <w:rPr>
                <w:rFonts w:hint="eastAsia"/>
              </w:rPr>
              <w:t>5</w:t>
            </w:r>
            <w:r>
              <w:rPr>
                <w:rFonts w:hint="eastAsia"/>
                <w:lang w:val="en-US" w:eastAsia="zh-CN"/>
              </w:rPr>
              <w:t>5.2</w:t>
            </w:r>
            <w:r>
              <w:rPr>
                <w:rFonts w:hint="eastAsia"/>
              </w:rPr>
              <w:t>~5</w:t>
            </w:r>
            <w:r>
              <w:rPr>
                <w:rFonts w:hint="eastAsia"/>
                <w:lang w:val="en-US" w:eastAsia="zh-CN"/>
              </w:rPr>
              <w:t>7.4</w:t>
            </w:r>
            <w:r>
              <w:t>dB(A)，夜间噪声在</w:t>
            </w:r>
            <w:r>
              <w:rPr>
                <w:rFonts w:hint="eastAsia"/>
              </w:rPr>
              <w:t>4</w:t>
            </w:r>
            <w:r>
              <w:rPr>
                <w:rFonts w:hint="eastAsia"/>
                <w:lang w:val="en-US" w:eastAsia="zh-CN"/>
              </w:rPr>
              <w:t>4.2</w:t>
            </w:r>
            <w:r>
              <w:rPr>
                <w:rFonts w:hint="eastAsia"/>
              </w:rPr>
              <w:t>~4</w:t>
            </w:r>
            <w:r>
              <w:rPr>
                <w:rFonts w:hint="eastAsia"/>
                <w:lang w:val="en-US" w:eastAsia="zh-CN"/>
              </w:rPr>
              <w:t>6.5</w:t>
            </w:r>
            <w:r>
              <w:t>dB(A)之间，满足《工业企业厂界环境噪声排放标准》（GB12348-2008）</w:t>
            </w:r>
            <w:r>
              <w:rPr>
                <w:rFonts w:hint="eastAsia"/>
              </w:rPr>
              <w:t>中2类标准</w:t>
            </w:r>
            <w:r>
              <w:t>要求。</w:t>
            </w:r>
          </w:p>
        </w:tc>
      </w:tr>
    </w:tbl>
    <w:p>
      <w:pPr>
        <w:ind w:firstLine="422"/>
        <w:rPr>
          <w:rFonts w:eastAsia="仿宋_GB2312"/>
          <w:b/>
          <w:color w:val="000000"/>
          <w:sz w:val="21"/>
          <w:szCs w:val="21"/>
        </w:rPr>
        <w:sectPr>
          <w:pgSz w:w="11906" w:h="16838"/>
          <w:pgMar w:top="1440" w:right="1800" w:bottom="1440" w:left="1800" w:header="708" w:footer="708" w:gutter="0"/>
          <w:pgNumType w:fmt="numberInDash"/>
          <w:cols w:space="720" w:num="1"/>
          <w:docGrid w:linePitch="360" w:charSpace="0"/>
        </w:sectPr>
      </w:pPr>
    </w:p>
    <w:p>
      <w:pPr>
        <w:ind w:firstLine="0" w:firstLineChars="0"/>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八</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ind w:firstLine="480"/>
              <w:jc w:val="both"/>
            </w:pPr>
            <w:r>
              <w:rPr>
                <w:rFonts w:hint="eastAsia"/>
              </w:rPr>
              <w:t>验收监测结论：</w:t>
            </w:r>
          </w:p>
          <w:p>
            <w:pPr>
              <w:widowControl w:val="0"/>
              <w:ind w:firstLine="480"/>
              <w:jc w:val="both"/>
            </w:pPr>
            <w:r>
              <w:rPr>
                <w:rFonts w:hint="eastAsia"/>
              </w:rPr>
              <w:t>一、审批要求及建议</w:t>
            </w:r>
            <w:r>
              <w:t>落实情况</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1"/>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pStyle w:val="27"/>
                  </w:pPr>
                  <w:r>
                    <w:t>审批要求及建议</w:t>
                  </w:r>
                </w:p>
              </w:tc>
              <w:tc>
                <w:tcPr>
                  <w:tcW w:w="3875" w:type="dxa"/>
                  <w:vAlign w:val="center"/>
                </w:tcPr>
                <w:p>
                  <w:pPr>
                    <w:pStyle w:val="27"/>
                  </w:pPr>
                  <w: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pStyle w:val="27"/>
                    <w:jc w:val="left"/>
                  </w:pPr>
                  <w:r>
                    <w:rPr>
                      <w:rFonts w:hint="eastAsia"/>
                    </w:rPr>
                    <w:t>(一)按照《铜陵市城市扬尘污染防治管理办法》、《铜陵市环境噪声污染防治管理办法》要求，加强项目施工期环境管理.采取施工场地围挡、洒水抑尘，产尘物料密闭运输、施工废水沉淀处理回用等措施，防止水土流失和施工废水、扬尘、固废等污染环境.选用低噪声施工机械，合理安排各类施工机械作业时间，严格控制高噪声设备夜间施工，施工场界噪声须符合《建筑施工场界环境噪声排放标准》 (GB12523-2011)。</w:t>
                  </w:r>
                </w:p>
              </w:tc>
              <w:tc>
                <w:tcPr>
                  <w:tcW w:w="3875" w:type="dxa"/>
                  <w:vAlign w:val="center"/>
                </w:tcPr>
                <w:p>
                  <w:pPr>
                    <w:pStyle w:val="27"/>
                  </w:pPr>
                  <w:r>
                    <w:rPr>
                      <w:rFonts w:hint="eastAsia"/>
                    </w:rPr>
                    <w:t>已落实，该项目在建设期间，严格按照相关的法律法规执行，施工、建设，现已建设完毕，在建设期间，没有接到任何投诉。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spacing w:line="240" w:lineRule="auto"/>
                    <w:ind w:firstLine="0" w:firstLineChars="0"/>
                    <w:rPr>
                      <w:sz w:val="21"/>
                      <w:szCs w:val="21"/>
                    </w:rPr>
                  </w:pPr>
                  <w:r>
                    <w:rPr>
                      <w:rFonts w:hint="eastAsia"/>
                      <w:sz w:val="21"/>
                      <w:szCs w:val="21"/>
                    </w:rPr>
                    <w:t>(二)按照“雨污分流”原则设计、建设给排水管网。加油站场区地面冲洗废水及生活污水经隔油池、化粪池预处理后一并进入地埋式一体化污水处理设施处理达到《污水综合排放标准》(GB8978-1996)一级标准后外排，做好油品储罐区的防渗处理，防止油品泄漏对地下水及土壤环境造成污染。</w:t>
                  </w:r>
                </w:p>
              </w:tc>
              <w:tc>
                <w:tcPr>
                  <w:tcW w:w="3875" w:type="dxa"/>
                  <w:vAlign w:val="center"/>
                </w:tcPr>
                <w:p>
                  <w:pPr>
                    <w:pStyle w:val="27"/>
                  </w:pPr>
                  <w:r>
                    <w:t>已落实</w:t>
                  </w:r>
                  <w:r>
                    <w:rPr>
                      <w:rFonts w:hint="eastAsia"/>
                    </w:rPr>
                    <w:t>。本项目按照“雨污分流”原则设计、建设给排水管网。加油区设置了冲洗废水收集槽，加油区的冲洗废水经有效收集，排入隔油池处理，然后与经化粪池处理后的生活污水纳入本站建设的地埋式污水处理装置处理，处理后的废水，委托专人使用吸粪车抽取，送到新民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pStyle w:val="18"/>
                    <w:spacing w:after="0" w:line="240" w:lineRule="auto"/>
                    <w:ind w:firstLine="0" w:firstLineChars="0"/>
                    <w:rPr>
                      <w:sz w:val="21"/>
                      <w:szCs w:val="21"/>
                    </w:rPr>
                  </w:pPr>
                  <w:r>
                    <w:rPr>
                      <w:rFonts w:hint="eastAsia"/>
                      <w:sz w:val="21"/>
                      <w:szCs w:val="21"/>
                    </w:rPr>
                    <w:t>(三)加强运营期的管理，做好加油区无组织排放废气的防治，设置卸油、加油油气回收装置，使其满足《加油站大气污染物排放标准》(GB20952-2007)的要求。</w:t>
                  </w:r>
                </w:p>
              </w:tc>
              <w:tc>
                <w:tcPr>
                  <w:tcW w:w="3875" w:type="dxa"/>
                  <w:vAlign w:val="center"/>
                </w:tcPr>
                <w:p>
                  <w:pPr>
                    <w:pStyle w:val="27"/>
                  </w:pPr>
                  <w:r>
                    <w:rPr>
                      <w:rFonts w:hint="eastAsia"/>
                    </w:rPr>
                    <w:t xml:space="preserve">  </w:t>
                  </w:r>
                  <w:r>
                    <w:t>已落实。</w:t>
                  </w:r>
                  <w:r>
                    <w:rPr>
                      <w:rFonts w:hint="eastAsia"/>
                    </w:rPr>
                    <w:t>本项目</w:t>
                  </w:r>
                  <w:r>
                    <w:rPr>
                      <w:rFonts w:hint="eastAsia"/>
                      <w:kern w:val="2"/>
                      <w:szCs w:val="20"/>
                      <w:lang w:bidi="ar"/>
                    </w:rPr>
                    <w:t>安装密闭油气回收系统对加油站卸油、储油和加油时挥发的有机废气进行回收</w:t>
                  </w:r>
                  <w:r>
                    <w:rPr>
                      <w:rFonts w:hint="eastAsia"/>
                    </w:rPr>
                    <w:t>。</w:t>
                  </w:r>
                  <w:r>
                    <w:rPr>
                      <w:rFonts w:hint="eastAsia" w:asciiTheme="minorEastAsia" w:hAnsiTheme="minorEastAsia" w:eastAsiaTheme="minorEastAsia" w:cstheme="minorEastAsia"/>
                      <w:bCs/>
                      <w:color w:val="000000" w:themeColor="text1"/>
                      <w14:textFill>
                        <w14:solidFill>
                          <w14:schemeClr w14:val="tx1"/>
                        </w14:solidFill>
                      </w14:textFill>
                    </w:rPr>
                    <w:t>加气区设置拉断阀、自密封阀等；LNG储罐、加气系统设置BOG气体回收装置。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spacing w:line="240" w:lineRule="auto"/>
                    <w:ind w:firstLine="0" w:firstLineChars="0"/>
                  </w:pPr>
                  <w:r>
                    <w:rPr>
                      <w:rFonts w:hint="eastAsia"/>
                      <w:sz w:val="21"/>
                      <w:szCs w:val="21"/>
                    </w:rPr>
                    <w:t>(四)选用低噪声设备，采取有效的隔声、消声和减震等措施，确保厂界噪声达到《工业企业厂界噪声标准》 (GB12348-2008)中2类标准.</w:t>
                  </w:r>
                </w:p>
              </w:tc>
              <w:tc>
                <w:tcPr>
                  <w:tcW w:w="3875" w:type="dxa"/>
                  <w:vAlign w:val="center"/>
                </w:tcPr>
                <w:p>
                  <w:pPr>
                    <w:spacing w:line="240" w:lineRule="auto"/>
                    <w:ind w:firstLine="0" w:firstLineChars="0"/>
                    <w:rPr>
                      <w:sz w:val="21"/>
                      <w:szCs w:val="21"/>
                    </w:rPr>
                  </w:pPr>
                  <w:r>
                    <w:rPr>
                      <w:sz w:val="21"/>
                      <w:szCs w:val="21"/>
                    </w:rPr>
                    <w:t>已落实。</w:t>
                  </w:r>
                  <w:r>
                    <w:rPr>
                      <w:rFonts w:hint="eastAsia"/>
                      <w:sz w:val="21"/>
                      <w:szCs w:val="21"/>
                    </w:rPr>
                    <w:t>已采取</w:t>
                  </w:r>
                  <w:r>
                    <w:rPr>
                      <w:sz w:val="21"/>
                      <w:szCs w:val="21"/>
                    </w:rPr>
                    <w:t>防震</w:t>
                  </w:r>
                  <w:r>
                    <w:rPr>
                      <w:rFonts w:hint="eastAsia"/>
                      <w:sz w:val="21"/>
                      <w:szCs w:val="21"/>
                    </w:rPr>
                    <w:t>、</w:t>
                  </w:r>
                  <w:r>
                    <w:rPr>
                      <w:sz w:val="21"/>
                      <w:szCs w:val="21"/>
                    </w:rPr>
                    <w:t>减震措施</w:t>
                  </w:r>
                  <w:r>
                    <w:rPr>
                      <w:rFonts w:hint="eastAsia"/>
                      <w:sz w:val="21"/>
                      <w:szCs w:val="21"/>
                    </w:rPr>
                    <w:t>，噪声达标排放。厂界噪声满足《工业企业厂界环境噪声排放标准》(GB12348-2008)中2类标准。</w:t>
                  </w:r>
                </w:p>
                <w:p>
                  <w:pPr>
                    <w:pStyle w:val="27"/>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pStyle w:val="27"/>
                    <w:jc w:val="left"/>
                  </w:pPr>
                  <w:r>
                    <w:rPr>
                      <w:rFonts w:hint="eastAsia"/>
                    </w:rPr>
                    <w:t>(五)按照“资源化、减量化、无害化”处置的原则，妥善处置各类固体废物。储油罐油泥、隔油池油渣等危险废物必须严格按照《危险废物贮存污染控制标准》(GB18597-2001)进行收集、贮存，并委托具有危险废物处理资质的单位处置；危险废物临时暂存库应具有“防风、防雨、防渗漏”功能，并规范设置危险废物识别标牌；生活垃圾定点存放，由环卫部门统一收集清运。</w:t>
                  </w:r>
                </w:p>
              </w:tc>
              <w:tc>
                <w:tcPr>
                  <w:tcW w:w="3875" w:type="dxa"/>
                  <w:vAlign w:val="center"/>
                </w:tcPr>
                <w:p>
                  <w:pPr>
                    <w:pStyle w:val="27"/>
                    <w:jc w:val="both"/>
                    <w:rPr>
                      <w:rFonts w:eastAsiaTheme="minorEastAsia"/>
                    </w:rPr>
                  </w:pPr>
                  <w:r>
                    <w:rPr>
                      <w:rFonts w:hint="eastAsia"/>
                    </w:rPr>
                    <w:t>已落实。本项目已按照环评要求设置危废暂存库，收集的危废在危废暂存库暂存，委托有资质的单位处置。</w:t>
                  </w:r>
                  <w:r>
                    <w:t>生活垃圾委托环卫部门处置。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pStyle w:val="27"/>
                    <w:jc w:val="left"/>
                  </w:pPr>
                  <w:r>
                    <w:rPr>
                      <w:rFonts w:hint="eastAsia"/>
                    </w:rPr>
                    <w:t>(六)强化油气从储运到使用各个环节的事故防范，制定环境突发事件应急预案，并报我局备案。</w:t>
                  </w:r>
                </w:p>
              </w:tc>
              <w:tc>
                <w:tcPr>
                  <w:tcW w:w="3875" w:type="dxa"/>
                  <w:vAlign w:val="center"/>
                </w:tcPr>
                <w:p>
                  <w:pPr>
                    <w:pStyle w:val="27"/>
                    <w:jc w:val="both"/>
                  </w:pPr>
                  <w:r>
                    <w:rPr>
                      <w:rFonts w:hint="eastAsia"/>
                    </w:rPr>
                    <w:t>正在委托第三方编制本站突发环境事件应急预案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1" w:type="dxa"/>
                  <w:vAlign w:val="center"/>
                </w:tcPr>
                <w:p>
                  <w:pPr>
                    <w:pStyle w:val="27"/>
                  </w:pPr>
                </w:p>
              </w:tc>
              <w:tc>
                <w:tcPr>
                  <w:tcW w:w="3875" w:type="dxa"/>
                  <w:vAlign w:val="center"/>
                </w:tcPr>
                <w:p>
                  <w:pPr>
                    <w:pStyle w:val="27"/>
                    <w:jc w:val="both"/>
                  </w:pPr>
                </w:p>
              </w:tc>
            </w:tr>
          </w:tbl>
          <w:p>
            <w:pPr>
              <w:widowControl w:val="0"/>
              <w:ind w:firstLine="480"/>
              <w:jc w:val="both"/>
            </w:pPr>
            <w:bookmarkStart w:id="50" w:name="_Toc22885"/>
            <w:r>
              <w:rPr>
                <w:rFonts w:hint="eastAsia"/>
              </w:rPr>
              <w:t>二、</w:t>
            </w:r>
            <w:r>
              <w:t>验收监测结论</w:t>
            </w:r>
            <w:bookmarkEnd w:id="50"/>
          </w:p>
          <w:p>
            <w:pPr>
              <w:widowControl w:val="0"/>
              <w:ind w:firstLine="480"/>
              <w:jc w:val="both"/>
              <w:rPr>
                <w:szCs w:val="21"/>
              </w:rPr>
            </w:pPr>
            <w:r>
              <w:rPr>
                <w:rFonts w:hint="eastAsia"/>
                <w:szCs w:val="21"/>
              </w:rPr>
              <w:t>安徽灵通清洁能源股份有限公司</w:t>
            </w:r>
            <w:r>
              <w:rPr>
                <w:rFonts w:hint="eastAsia"/>
                <w:color w:val="000000"/>
              </w:rPr>
              <w:t>灵通横港物流园L-CNC油气合建站项目</w:t>
            </w:r>
            <w:r>
              <w:rPr>
                <w:szCs w:val="21"/>
              </w:rPr>
              <w:t>能够执</w:t>
            </w:r>
            <w:r>
              <w:rPr>
                <w:rFonts w:hint="eastAsia" w:ascii="宋体" w:hAnsi="宋体" w:cs="宋体"/>
                <w:szCs w:val="21"/>
              </w:rPr>
              <w:t>行“环评”和“三同时”制</w:t>
            </w:r>
            <w:r>
              <w:rPr>
                <w:szCs w:val="21"/>
              </w:rPr>
              <w:t>度，相关手续齐备；本项目已建成｡验收监测单位</w:t>
            </w:r>
            <w:r>
              <w:rPr>
                <w:rFonts w:hint="eastAsia"/>
                <w:szCs w:val="21"/>
              </w:rPr>
              <w:t>（安徽诚翔分析测试科技有限公司）</w:t>
            </w:r>
            <w:r>
              <w:rPr>
                <w:szCs w:val="21"/>
              </w:rPr>
              <w:t>于20</w:t>
            </w:r>
            <w:r>
              <w:rPr>
                <w:rFonts w:hint="eastAsia"/>
                <w:szCs w:val="21"/>
              </w:rPr>
              <w:t>2</w:t>
            </w:r>
            <w:r>
              <w:rPr>
                <w:szCs w:val="21"/>
              </w:rPr>
              <w:t>1年8月</w:t>
            </w:r>
            <w:r>
              <w:rPr>
                <w:rFonts w:hint="eastAsia"/>
                <w:szCs w:val="21"/>
                <w:lang w:val="en-US" w:eastAsia="zh-CN"/>
              </w:rPr>
              <w:t>19</w:t>
            </w:r>
            <w:r>
              <w:rPr>
                <w:szCs w:val="21"/>
              </w:rPr>
              <w:t>日~8月</w:t>
            </w:r>
            <w:r>
              <w:rPr>
                <w:rFonts w:hint="eastAsia"/>
                <w:szCs w:val="21"/>
              </w:rPr>
              <w:t>2</w:t>
            </w:r>
            <w:r>
              <w:rPr>
                <w:rFonts w:hint="eastAsia"/>
                <w:szCs w:val="21"/>
                <w:lang w:val="en-US" w:eastAsia="zh-CN"/>
              </w:rPr>
              <w:t>0</w:t>
            </w:r>
            <w:r>
              <w:rPr>
                <w:szCs w:val="21"/>
              </w:rPr>
              <w:t>日对本项目进行了项目竣工环境保护验收监测，废水､废气､噪声监测以及环境管理检查同步进行｡</w:t>
            </w:r>
          </w:p>
          <w:p>
            <w:pPr>
              <w:widowControl w:val="0"/>
              <w:ind w:firstLine="480"/>
              <w:jc w:val="both"/>
              <w:rPr>
                <w:szCs w:val="21"/>
              </w:rPr>
            </w:pPr>
            <w:r>
              <w:rPr>
                <w:szCs w:val="21"/>
              </w:rPr>
              <w:t>（1）废水</w:t>
            </w:r>
          </w:p>
          <w:p>
            <w:pPr>
              <w:widowControl w:val="0"/>
              <w:ind w:firstLine="240" w:firstLineChars="100"/>
              <w:jc w:val="both"/>
              <w:rPr>
                <w:szCs w:val="21"/>
              </w:rPr>
            </w:pPr>
            <w:r>
              <w:rPr>
                <w:szCs w:val="21"/>
              </w:rPr>
              <w:t>20</w:t>
            </w:r>
            <w:r>
              <w:rPr>
                <w:rFonts w:hint="eastAsia"/>
                <w:szCs w:val="21"/>
              </w:rPr>
              <w:t>2</w:t>
            </w:r>
            <w:r>
              <w:rPr>
                <w:szCs w:val="21"/>
              </w:rPr>
              <w:t>1年8月</w:t>
            </w:r>
            <w:r>
              <w:rPr>
                <w:rFonts w:hint="eastAsia"/>
                <w:szCs w:val="21"/>
                <w:lang w:val="en-US" w:eastAsia="zh-CN"/>
              </w:rPr>
              <w:t>19</w:t>
            </w:r>
            <w:r>
              <w:rPr>
                <w:szCs w:val="21"/>
              </w:rPr>
              <w:t>日~8月</w:t>
            </w:r>
            <w:r>
              <w:rPr>
                <w:rFonts w:hint="eastAsia"/>
                <w:szCs w:val="21"/>
              </w:rPr>
              <w:t>2</w:t>
            </w:r>
            <w:r>
              <w:rPr>
                <w:rFonts w:hint="eastAsia"/>
                <w:szCs w:val="21"/>
                <w:lang w:val="en-US" w:eastAsia="zh-CN"/>
              </w:rPr>
              <w:t>0</w:t>
            </w:r>
            <w:r>
              <w:rPr>
                <w:szCs w:val="21"/>
              </w:rPr>
              <w:t>日，验收监测单位</w:t>
            </w:r>
            <w:r>
              <w:rPr>
                <w:rFonts w:hint="eastAsia"/>
                <w:szCs w:val="21"/>
              </w:rPr>
              <w:t>（安徽诚翔分析测试科技有限公司）</w:t>
            </w:r>
            <w:r>
              <w:rPr>
                <w:szCs w:val="21"/>
              </w:rPr>
              <w:t>对本项目</w:t>
            </w:r>
            <w:r>
              <w:rPr>
                <w:rFonts w:hint="eastAsia"/>
                <w:szCs w:val="21"/>
              </w:rPr>
              <w:t>冲洗废水和</w:t>
            </w:r>
            <w:r>
              <w:rPr>
                <w:szCs w:val="21"/>
              </w:rPr>
              <w:t>生活</w:t>
            </w:r>
            <w:r>
              <w:rPr>
                <w:rFonts w:hint="eastAsia"/>
                <w:szCs w:val="21"/>
              </w:rPr>
              <w:t>废水</w:t>
            </w:r>
            <w:r>
              <w:rPr>
                <w:szCs w:val="21"/>
              </w:rPr>
              <w:t>进行</w:t>
            </w:r>
            <w:r>
              <w:rPr>
                <w:rFonts w:hint="eastAsia"/>
                <w:szCs w:val="21"/>
              </w:rPr>
              <w:t>调查。本项目在加油岛附近修建了一条环形冲洗废水收集沟槽，收集冲洗废水，然后经隔油池处理后，与经化粪池处理后的生活污水，纳入本项目建设的地埋式污水处理装置，处理后的尾水，委托第三方用吸粪车定期抽取，送新民污水处理厂处理，本项目的废水不外排。</w:t>
            </w:r>
          </w:p>
          <w:p>
            <w:pPr>
              <w:widowControl w:val="0"/>
              <w:ind w:firstLine="240" w:firstLineChars="100"/>
              <w:jc w:val="both"/>
            </w:pPr>
            <w:r>
              <w:t>（2）废气</w:t>
            </w:r>
          </w:p>
          <w:p>
            <w:pPr>
              <w:widowControl w:val="0"/>
              <w:ind w:firstLine="480"/>
              <w:jc w:val="both"/>
              <w:rPr>
                <w:rFonts w:hint="eastAsia"/>
              </w:rPr>
            </w:pPr>
            <w:r>
              <w:rPr>
                <w:szCs w:val="21"/>
              </w:rPr>
              <w:t>20</w:t>
            </w:r>
            <w:r>
              <w:rPr>
                <w:rFonts w:hint="eastAsia"/>
                <w:szCs w:val="21"/>
              </w:rPr>
              <w:t>20</w:t>
            </w:r>
            <w:r>
              <w:rPr>
                <w:szCs w:val="21"/>
              </w:rPr>
              <w:t>年</w:t>
            </w:r>
            <w:r>
              <w:rPr>
                <w:rFonts w:hint="eastAsia"/>
                <w:szCs w:val="21"/>
                <w:lang w:val="en-US" w:eastAsia="zh-CN"/>
              </w:rPr>
              <w:t>8</w:t>
            </w:r>
            <w:r>
              <w:rPr>
                <w:szCs w:val="21"/>
              </w:rPr>
              <w:t>月</w:t>
            </w:r>
            <w:r>
              <w:rPr>
                <w:rFonts w:hint="eastAsia"/>
                <w:szCs w:val="21"/>
                <w:lang w:val="en-US" w:eastAsia="zh-CN"/>
              </w:rPr>
              <w:t>19</w:t>
            </w:r>
            <w:r>
              <w:rPr>
                <w:szCs w:val="21"/>
              </w:rPr>
              <w:t>日~</w:t>
            </w:r>
            <w:r>
              <w:rPr>
                <w:rFonts w:hint="eastAsia"/>
                <w:szCs w:val="21"/>
                <w:lang w:val="en-US" w:eastAsia="zh-CN"/>
              </w:rPr>
              <w:t>8</w:t>
            </w:r>
            <w:r>
              <w:rPr>
                <w:szCs w:val="21"/>
              </w:rPr>
              <w:t>月</w:t>
            </w:r>
            <w:r>
              <w:rPr>
                <w:rFonts w:hint="eastAsia"/>
                <w:szCs w:val="21"/>
                <w:lang w:val="en-US" w:eastAsia="zh-CN"/>
              </w:rPr>
              <w:t>20</w:t>
            </w:r>
            <w:r>
              <w:rPr>
                <w:szCs w:val="21"/>
              </w:rPr>
              <w:t>日，验收监测单位</w:t>
            </w:r>
            <w:r>
              <w:rPr>
                <w:rFonts w:hint="eastAsia"/>
                <w:szCs w:val="21"/>
              </w:rPr>
              <w:t>（安徽诚翔分析测试科技有限公司）</w:t>
            </w:r>
            <w:r>
              <w:t>，</w:t>
            </w:r>
            <w:r>
              <w:rPr>
                <w:rFonts w:hint="eastAsia"/>
              </w:rPr>
              <w:t>对</w:t>
            </w:r>
            <w:r>
              <w:t>项目无组织废气</w:t>
            </w:r>
            <w:r>
              <w:rPr>
                <w:rFonts w:hint="eastAsia"/>
              </w:rPr>
              <w:t>中非甲烷总烃进行了监测。</w:t>
            </w:r>
            <w:r>
              <w:t>验收监测期间，项目</w:t>
            </w:r>
            <w:r>
              <w:rPr>
                <w:rFonts w:hint="eastAsia"/>
              </w:rPr>
              <w:t>厂界非甲烷总烃</w:t>
            </w:r>
            <w:r>
              <w:t>浓度最大值满足</w:t>
            </w:r>
            <w:r>
              <w:rPr>
                <w:rFonts w:hint="eastAsia"/>
              </w:rPr>
              <w:t>《挥发性有机物无组织排放控制标准》(GB37822-2019)中限值要求。</w:t>
            </w:r>
          </w:p>
          <w:p>
            <w:pPr>
              <w:pStyle w:val="2"/>
              <w:widowControl w:val="0"/>
              <w:jc w:val="both"/>
            </w:pPr>
            <w:r>
              <w:rPr>
                <w:rFonts w:hint="eastAsia"/>
                <w:szCs w:val="24"/>
                <w:lang w:val="en-US" w:eastAsia="zh-CN"/>
              </w:rPr>
              <w:t>加油油气回收管线液阻检测值小于</w:t>
            </w:r>
            <w:r>
              <w:rPr>
                <w:szCs w:val="24"/>
              </w:rPr>
              <w:t>《加油站大气污染物排放标准》（GB20952-2</w:t>
            </w:r>
            <w:r>
              <w:rPr>
                <w:rFonts w:hint="eastAsia"/>
                <w:szCs w:val="24"/>
                <w:lang w:val="en-US" w:eastAsia="zh-CN"/>
              </w:rPr>
              <w:t>020</w:t>
            </w:r>
            <w:r>
              <w:rPr>
                <w:szCs w:val="24"/>
              </w:rPr>
              <w:t>）</w:t>
            </w:r>
            <w:r>
              <w:rPr>
                <w:rFonts w:hint="eastAsia"/>
                <w:szCs w:val="24"/>
                <w:lang w:val="en-US" w:eastAsia="zh-CN"/>
              </w:rPr>
              <w:t>表1限值；油气回收系统密闭性压力检测值471Pa大于</w:t>
            </w:r>
            <w:r>
              <w:rPr>
                <w:szCs w:val="24"/>
              </w:rPr>
              <w:t>《加油站大气污染物排放标准》（GB20952-2</w:t>
            </w:r>
            <w:r>
              <w:rPr>
                <w:rFonts w:hint="eastAsia"/>
                <w:szCs w:val="24"/>
                <w:lang w:val="en-US" w:eastAsia="zh-CN"/>
              </w:rPr>
              <w:t>020</w:t>
            </w:r>
            <w:r>
              <w:rPr>
                <w:szCs w:val="24"/>
              </w:rPr>
              <w:t>）</w:t>
            </w:r>
            <w:r>
              <w:rPr>
                <w:rFonts w:hint="eastAsia"/>
                <w:szCs w:val="24"/>
                <w:lang w:val="en-US" w:eastAsia="zh-CN"/>
              </w:rPr>
              <w:t>表2中最小剩余压力限值限值446Pa；加油油气回收系统气液比为1.04，满足</w:t>
            </w:r>
            <w:r>
              <w:rPr>
                <w:szCs w:val="24"/>
              </w:rPr>
              <w:t>《加油站大气污染物排放标准》（GB20952-2</w:t>
            </w:r>
            <w:r>
              <w:rPr>
                <w:rFonts w:hint="eastAsia"/>
                <w:szCs w:val="24"/>
                <w:lang w:val="en-US" w:eastAsia="zh-CN"/>
              </w:rPr>
              <w:t>020</w:t>
            </w:r>
            <w:r>
              <w:rPr>
                <w:szCs w:val="24"/>
              </w:rPr>
              <w:t>）中</w:t>
            </w:r>
            <w:r>
              <w:rPr>
                <w:rFonts w:hint="eastAsia"/>
                <w:szCs w:val="24"/>
                <w:lang w:val="en-US" w:eastAsia="zh-CN"/>
              </w:rPr>
              <w:t>应大于1.0和小于等于1.2的要求</w:t>
            </w:r>
            <w:r>
              <w:rPr>
                <w:rFonts w:hint="eastAsia"/>
                <w:szCs w:val="24"/>
                <w:lang w:eastAsia="zh-CN"/>
              </w:rPr>
              <w:t>。</w:t>
            </w:r>
          </w:p>
          <w:p>
            <w:pPr>
              <w:widowControl w:val="0"/>
              <w:ind w:firstLine="240" w:firstLineChars="100"/>
              <w:jc w:val="left"/>
            </w:pPr>
            <w:r>
              <w:t>（3）噪声</w:t>
            </w:r>
          </w:p>
          <w:p>
            <w:pPr>
              <w:widowControl w:val="0"/>
              <w:adjustRightInd/>
              <w:snapToGrid/>
              <w:ind w:firstLine="480"/>
              <w:jc w:val="both"/>
            </w:pPr>
            <w:r>
              <w:rPr>
                <w:szCs w:val="21"/>
              </w:rPr>
              <w:t>20</w:t>
            </w:r>
            <w:r>
              <w:rPr>
                <w:rFonts w:hint="eastAsia"/>
                <w:szCs w:val="21"/>
              </w:rPr>
              <w:t>20</w:t>
            </w:r>
            <w:r>
              <w:rPr>
                <w:szCs w:val="21"/>
              </w:rPr>
              <w:t>年</w:t>
            </w:r>
            <w:r>
              <w:rPr>
                <w:rFonts w:hint="eastAsia"/>
                <w:szCs w:val="21"/>
                <w:lang w:val="en-US" w:eastAsia="zh-CN"/>
              </w:rPr>
              <w:t>8</w:t>
            </w:r>
            <w:r>
              <w:rPr>
                <w:szCs w:val="21"/>
              </w:rPr>
              <w:t>月</w:t>
            </w:r>
            <w:r>
              <w:rPr>
                <w:rFonts w:hint="eastAsia"/>
                <w:szCs w:val="21"/>
                <w:lang w:val="en-US" w:eastAsia="zh-CN"/>
              </w:rPr>
              <w:t>19</w:t>
            </w:r>
            <w:r>
              <w:rPr>
                <w:szCs w:val="21"/>
              </w:rPr>
              <w:t>日~</w:t>
            </w:r>
            <w:r>
              <w:rPr>
                <w:rFonts w:hint="eastAsia"/>
                <w:szCs w:val="21"/>
                <w:lang w:val="en-US" w:eastAsia="zh-CN"/>
              </w:rPr>
              <w:t>8</w:t>
            </w:r>
            <w:r>
              <w:rPr>
                <w:szCs w:val="21"/>
              </w:rPr>
              <w:t>月</w:t>
            </w:r>
            <w:r>
              <w:rPr>
                <w:rFonts w:hint="eastAsia"/>
                <w:szCs w:val="21"/>
              </w:rPr>
              <w:t>2</w:t>
            </w:r>
            <w:r>
              <w:rPr>
                <w:rFonts w:hint="eastAsia"/>
                <w:szCs w:val="21"/>
                <w:lang w:val="en-US" w:eastAsia="zh-CN"/>
              </w:rPr>
              <w:t>0</w:t>
            </w:r>
            <w:r>
              <w:rPr>
                <w:szCs w:val="21"/>
              </w:rPr>
              <w:t>日，验收监测单位</w:t>
            </w:r>
            <w:r>
              <w:rPr>
                <w:rFonts w:hint="eastAsia"/>
                <w:szCs w:val="21"/>
              </w:rPr>
              <w:t>（安徽诚翔分析测试科技有限公司）</w:t>
            </w:r>
            <w:r>
              <w:t>，</w:t>
            </w:r>
            <w:r>
              <w:rPr>
                <w:rFonts w:hint="eastAsia"/>
              </w:rPr>
              <w:t>监测结果表明，验收监测期间，</w:t>
            </w:r>
            <w:r>
              <w:t>项目在</w:t>
            </w:r>
            <w:r>
              <w:rPr>
                <w:rFonts w:hint="eastAsia"/>
              </w:rPr>
              <w:t>营运</w:t>
            </w:r>
            <w:r>
              <w:t>过程中昼间噪声在</w:t>
            </w:r>
            <w:r>
              <w:rPr>
                <w:rFonts w:hint="eastAsia"/>
              </w:rPr>
              <w:t>5</w:t>
            </w:r>
            <w:r>
              <w:rPr>
                <w:rFonts w:hint="eastAsia"/>
                <w:lang w:val="en-US" w:eastAsia="zh-CN"/>
              </w:rPr>
              <w:t>5.2</w:t>
            </w:r>
            <w:r>
              <w:rPr>
                <w:rFonts w:hint="eastAsia"/>
              </w:rPr>
              <w:t>~5</w:t>
            </w:r>
            <w:r>
              <w:rPr>
                <w:rFonts w:hint="eastAsia"/>
                <w:lang w:val="en-US" w:eastAsia="zh-CN"/>
              </w:rPr>
              <w:t>7.4</w:t>
            </w:r>
            <w:r>
              <w:t>dB(A)，夜间噪声在</w:t>
            </w:r>
            <w:r>
              <w:rPr>
                <w:rFonts w:hint="eastAsia"/>
              </w:rPr>
              <w:t>4</w:t>
            </w:r>
            <w:r>
              <w:rPr>
                <w:rFonts w:hint="eastAsia"/>
                <w:lang w:val="en-US" w:eastAsia="zh-CN"/>
              </w:rPr>
              <w:t>4.2</w:t>
            </w:r>
            <w:r>
              <w:rPr>
                <w:rFonts w:hint="eastAsia"/>
              </w:rPr>
              <w:t>~4</w:t>
            </w:r>
            <w:r>
              <w:rPr>
                <w:rFonts w:hint="eastAsia"/>
                <w:lang w:val="en-US" w:eastAsia="zh-CN"/>
              </w:rPr>
              <w:t>6.5</w:t>
            </w:r>
            <w:r>
              <w:t>dB(A)之间，满足《工业企业厂界环境噪声排放标准》（GB12348-2008）</w:t>
            </w:r>
            <w:r>
              <w:rPr>
                <w:rFonts w:hint="eastAsia"/>
              </w:rPr>
              <w:t>中2类标准</w:t>
            </w:r>
            <w:r>
              <w:t>要求</w:t>
            </w:r>
            <w:r>
              <w:rPr>
                <w:rFonts w:hint="eastAsia"/>
              </w:rPr>
              <w:t>。</w:t>
            </w:r>
          </w:p>
          <w:p>
            <w:pPr>
              <w:widowControl w:val="0"/>
              <w:adjustRightInd/>
              <w:snapToGrid/>
              <w:ind w:firstLine="480"/>
              <w:jc w:val="both"/>
            </w:pPr>
            <w:r>
              <w:t>（4）固废</w:t>
            </w:r>
          </w:p>
          <w:p>
            <w:pPr>
              <w:widowControl/>
              <w:ind w:firstLine="240" w:firstLineChars="100"/>
              <w:jc w:val="left"/>
              <w:rPr>
                <w:color w:val="000000"/>
                <w:sz w:val="21"/>
                <w:szCs w:val="21"/>
              </w:rPr>
            </w:pPr>
            <w:bookmarkStart w:id="51" w:name="_Toc28664"/>
            <w:bookmarkStart w:id="52" w:name="_Toc518382028"/>
            <w:r>
              <w:rPr>
                <w:rFonts w:hint="eastAsia" w:asciiTheme="minorEastAsia" w:hAnsiTheme="minorEastAsia" w:eastAsiaTheme="minorEastAsia" w:cstheme="minorEastAsia"/>
              </w:rPr>
              <w:t>在验收调查时，安徽灵通清洁能源股份有限公司灵通横港物流园L-CNC油气合建站项目</w:t>
            </w:r>
            <w:r>
              <w:rPr>
                <w:rFonts w:hint="eastAsia"/>
              </w:rPr>
              <w:t>固废主要为</w:t>
            </w:r>
            <w:r>
              <w:rPr>
                <w:rFonts w:hint="eastAsia" w:ascii="宋体" w:hAnsi="宋体" w:cs="宋体"/>
                <w:color w:val="000000"/>
                <w:lang w:bidi="ar"/>
              </w:rPr>
              <w:t>职工的生活垃圾，职工产生的生活垃圾经垃圾收集箱收集 后由环卫部门定期进行处理。</w:t>
            </w:r>
          </w:p>
          <w:bookmarkEnd w:id="51"/>
          <w:p>
            <w:pPr>
              <w:widowControl w:val="0"/>
              <w:ind w:firstLine="480"/>
              <w:jc w:val="both"/>
            </w:pPr>
            <w:bookmarkStart w:id="53" w:name="_Toc10921"/>
            <w:r>
              <w:rPr>
                <w:rFonts w:hint="eastAsia"/>
                <w:szCs w:val="21"/>
              </w:rPr>
              <w:t xml:space="preserve"> </w:t>
            </w:r>
            <w:r>
              <w:rPr>
                <w:rFonts w:hint="eastAsia"/>
              </w:rPr>
              <w:t>三、</w:t>
            </w:r>
            <w:r>
              <w:t>验收结论</w:t>
            </w:r>
            <w:bookmarkEnd w:id="52"/>
            <w:bookmarkEnd w:id="53"/>
          </w:p>
          <w:p>
            <w:pPr>
              <w:widowControl w:val="0"/>
              <w:adjustRightInd/>
              <w:snapToGrid/>
              <w:ind w:firstLine="480"/>
              <w:jc w:val="both"/>
              <w:rPr>
                <w:szCs w:val="21"/>
              </w:rPr>
            </w:pPr>
            <w:bookmarkStart w:id="54" w:name="_Toc518382029"/>
            <w:r>
              <w:rPr>
                <w:rFonts w:hint="eastAsia"/>
                <w:szCs w:val="21"/>
              </w:rPr>
              <w:t>安徽灵通清洁能源股份有限公司</w:t>
            </w:r>
            <w:r>
              <w:rPr>
                <w:rFonts w:hint="eastAsia"/>
                <w:color w:val="000000"/>
              </w:rPr>
              <w:t>灵通横港物流园L-CNC油气合建站项目</w:t>
            </w:r>
            <w:r>
              <w:rPr>
                <w:szCs w:val="21"/>
              </w:rPr>
              <w:t>执行了环境影响评价制度，环境保护审查、审批手续完善，基本按照环评及批复的要求落实了污染防治措施，落实了项目环境防护距离要求，基本符合验收条件，建议给予本项目通过竣工环境保护验收。</w:t>
            </w:r>
          </w:p>
          <w:p>
            <w:pPr>
              <w:widowControl w:val="0"/>
              <w:ind w:firstLine="480"/>
              <w:jc w:val="both"/>
              <w:rPr>
                <w:kern w:val="2"/>
                <w:szCs w:val="21"/>
              </w:rPr>
            </w:pPr>
            <w:bookmarkStart w:id="55" w:name="_Toc22406"/>
            <w:r>
              <w:rPr>
                <w:rFonts w:hint="eastAsia"/>
              </w:rPr>
              <w:t>四、</w:t>
            </w:r>
            <w:r>
              <w:t>建议和要求</w:t>
            </w:r>
            <w:bookmarkEnd w:id="54"/>
            <w:bookmarkEnd w:id="55"/>
          </w:p>
          <w:p>
            <w:pPr>
              <w:widowControl w:val="0"/>
              <w:numPr>
                <w:ilvl w:val="0"/>
                <w:numId w:val="11"/>
              </w:numPr>
              <w:adjustRightInd/>
              <w:snapToGrid/>
              <w:ind w:firstLine="480"/>
              <w:jc w:val="both"/>
              <w:rPr>
                <w:kern w:val="2"/>
              </w:rPr>
            </w:pPr>
            <w:r>
              <w:rPr>
                <w:kern w:val="2"/>
              </w:rPr>
              <w:t>加强人员管理，确保环保工作落到实处，加强各类环境保护设施使用、维护与管理，确保污染物稳定达标排放。</w:t>
            </w:r>
          </w:p>
          <w:p>
            <w:pPr>
              <w:widowControl w:val="0"/>
              <w:numPr>
                <w:ilvl w:val="0"/>
                <w:numId w:val="11"/>
              </w:numPr>
              <w:adjustRightInd/>
              <w:snapToGrid/>
              <w:ind w:firstLine="480"/>
              <w:jc w:val="both"/>
              <w:rPr>
                <w:kern w:val="2"/>
              </w:rPr>
            </w:pPr>
            <w:r>
              <w:rPr>
                <w:kern w:val="2"/>
              </w:rPr>
              <w:t>加强环境宣传教育，注重清洁生产和循环利用。</w:t>
            </w:r>
          </w:p>
          <w:p>
            <w:pPr>
              <w:widowControl w:val="0"/>
              <w:numPr>
                <w:ilvl w:val="0"/>
                <w:numId w:val="11"/>
              </w:numPr>
              <w:adjustRightInd/>
              <w:snapToGrid/>
              <w:ind w:firstLine="480"/>
              <w:jc w:val="both"/>
              <w:rPr>
                <w:kern w:val="2"/>
              </w:rPr>
            </w:pPr>
            <w:r>
              <w:rPr>
                <w:kern w:val="2"/>
              </w:rPr>
              <w:t>搞好厂区绿化，美化厂区环境。</w:t>
            </w:r>
          </w:p>
          <w:p>
            <w:pPr>
              <w:widowControl w:val="0"/>
              <w:spacing w:before="62"/>
              <w:ind w:firstLine="0" w:firstLineChars="0"/>
              <w:jc w:val="both"/>
            </w:pPr>
          </w:p>
        </w:tc>
      </w:tr>
    </w:tbl>
    <w:p>
      <w:pPr>
        <w:pStyle w:val="18"/>
        <w:ind w:firstLine="480"/>
      </w:pPr>
    </w:p>
    <w:p>
      <w:pPr>
        <w:spacing w:line="360" w:lineRule="exact"/>
        <w:ind w:firstLine="422"/>
        <w:jc w:val="both"/>
        <w:outlineLvl w:val="0"/>
        <w:rPr>
          <w:b/>
          <w:color w:val="000000"/>
          <w:sz w:val="21"/>
          <w:szCs w:val="21"/>
        </w:rPr>
        <w:sectPr>
          <w:pgSz w:w="11906" w:h="16838"/>
          <w:pgMar w:top="1440" w:right="1800" w:bottom="1440" w:left="1800" w:header="708" w:footer="708" w:gutter="0"/>
          <w:pgNumType w:fmt="numberInDash"/>
          <w:cols w:space="720" w:num="1"/>
          <w:docGrid w:linePitch="360" w:charSpace="0"/>
        </w:sectPr>
      </w:pPr>
    </w:p>
    <w:p>
      <w:pPr>
        <w:pStyle w:val="5"/>
        <w:jc w:val="center"/>
        <w:rPr>
          <w:szCs w:val="24"/>
        </w:rPr>
      </w:pPr>
      <w:bookmarkStart w:id="56" w:name="_Toc15016"/>
      <w:bookmarkStart w:id="57" w:name="_Toc518382040"/>
      <w:bookmarkStart w:id="58" w:name="_Toc24048"/>
      <w:r>
        <w:t>建设项目环境保护“三同时”竣工验收登记表</w:t>
      </w:r>
      <w:bookmarkEnd w:id="56"/>
      <w:bookmarkEnd w:id="57"/>
      <w:bookmarkEnd w:id="58"/>
    </w:p>
    <w:tbl>
      <w:tblPr>
        <w:tblStyle w:val="22"/>
        <w:tblW w:w="14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185"/>
        <w:gridCol w:w="903"/>
        <w:gridCol w:w="637"/>
        <w:gridCol w:w="531"/>
        <w:gridCol w:w="988"/>
        <w:gridCol w:w="275"/>
        <w:gridCol w:w="831"/>
        <w:gridCol w:w="1206"/>
        <w:gridCol w:w="250"/>
        <w:gridCol w:w="682"/>
        <w:gridCol w:w="1031"/>
        <w:gridCol w:w="905"/>
        <w:gridCol w:w="876"/>
        <w:gridCol w:w="982"/>
        <w:gridCol w:w="675"/>
        <w:gridCol w:w="992"/>
        <w:gridCol w:w="150"/>
        <w:gridCol w:w="1054"/>
        <w:gridCol w:w="310"/>
        <w:gridCol w:w="354"/>
        <w:gridCol w:w="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restart"/>
            <w:textDirection w:val="tbRlV"/>
            <w:vAlign w:val="center"/>
          </w:tcPr>
          <w:p>
            <w:pPr>
              <w:pStyle w:val="27"/>
              <w:rPr>
                <w:b/>
                <w:bCs/>
                <w:sz w:val="15"/>
                <w:szCs w:val="15"/>
              </w:rPr>
            </w:pPr>
            <w:r>
              <w:rPr>
                <w:b/>
                <w:bCs/>
                <w:sz w:val="15"/>
                <w:szCs w:val="15"/>
              </w:rPr>
              <w:t>建 设 项 目</w:t>
            </w:r>
          </w:p>
        </w:tc>
        <w:tc>
          <w:tcPr>
            <w:tcW w:w="1725" w:type="dxa"/>
            <w:gridSpan w:val="3"/>
            <w:vAlign w:val="center"/>
          </w:tcPr>
          <w:p>
            <w:pPr>
              <w:pStyle w:val="27"/>
              <w:rPr>
                <w:b/>
                <w:bCs/>
                <w:sz w:val="15"/>
                <w:szCs w:val="15"/>
              </w:rPr>
            </w:pPr>
            <w:r>
              <w:rPr>
                <w:b/>
                <w:bCs/>
                <w:sz w:val="15"/>
                <w:szCs w:val="15"/>
              </w:rPr>
              <w:t>填表单位</w:t>
            </w:r>
          </w:p>
        </w:tc>
        <w:tc>
          <w:tcPr>
            <w:tcW w:w="4763" w:type="dxa"/>
            <w:gridSpan w:val="7"/>
            <w:vAlign w:val="center"/>
          </w:tcPr>
          <w:p>
            <w:pPr>
              <w:pStyle w:val="27"/>
              <w:rPr>
                <w:b/>
                <w:bCs/>
                <w:sz w:val="18"/>
                <w:szCs w:val="18"/>
              </w:rPr>
            </w:pPr>
            <w:r>
              <w:rPr>
                <w:rFonts w:hint="eastAsia"/>
                <w:b/>
                <w:bCs/>
                <w:sz w:val="18"/>
                <w:szCs w:val="18"/>
              </w:rPr>
              <w:t xml:space="preserve">安徽灵通清洁能源股份有限公司   </w:t>
            </w:r>
          </w:p>
        </w:tc>
        <w:tc>
          <w:tcPr>
            <w:tcW w:w="1936" w:type="dxa"/>
            <w:gridSpan w:val="2"/>
            <w:vAlign w:val="center"/>
          </w:tcPr>
          <w:p>
            <w:pPr>
              <w:pStyle w:val="27"/>
              <w:rPr>
                <w:b/>
                <w:bCs/>
                <w:sz w:val="15"/>
                <w:szCs w:val="15"/>
              </w:rPr>
            </w:pPr>
            <w:r>
              <w:rPr>
                <w:b/>
                <w:bCs/>
                <w:sz w:val="15"/>
                <w:szCs w:val="15"/>
              </w:rPr>
              <w:t>填表人</w:t>
            </w:r>
          </w:p>
        </w:tc>
        <w:tc>
          <w:tcPr>
            <w:tcW w:w="2533" w:type="dxa"/>
            <w:gridSpan w:val="3"/>
            <w:vAlign w:val="center"/>
          </w:tcPr>
          <w:p>
            <w:pPr>
              <w:pStyle w:val="27"/>
              <w:rPr>
                <w:b/>
                <w:bCs/>
                <w:sz w:val="15"/>
                <w:szCs w:val="15"/>
              </w:rPr>
            </w:pPr>
            <w:r>
              <w:rPr>
                <w:rFonts w:hint="eastAsia"/>
                <w:b/>
                <w:bCs/>
                <w:sz w:val="15"/>
                <w:szCs w:val="15"/>
              </w:rPr>
              <w:t>/</w:t>
            </w:r>
          </w:p>
        </w:tc>
        <w:tc>
          <w:tcPr>
            <w:tcW w:w="992" w:type="dxa"/>
            <w:vAlign w:val="center"/>
          </w:tcPr>
          <w:p>
            <w:pPr>
              <w:pStyle w:val="27"/>
              <w:rPr>
                <w:b/>
                <w:bCs/>
                <w:sz w:val="15"/>
                <w:szCs w:val="15"/>
              </w:rPr>
            </w:pPr>
            <w:r>
              <w:rPr>
                <w:b/>
                <w:bCs/>
                <w:sz w:val="15"/>
                <w:szCs w:val="15"/>
              </w:rPr>
              <w:t>项目经办人</w:t>
            </w:r>
          </w:p>
        </w:tc>
        <w:tc>
          <w:tcPr>
            <w:tcW w:w="2409" w:type="dxa"/>
            <w:gridSpan w:val="5"/>
            <w:vAlign w:val="center"/>
          </w:tcPr>
          <w:p>
            <w:pPr>
              <w:pStyle w:val="27"/>
              <w:rPr>
                <w:b/>
                <w:bCs/>
                <w:sz w:val="15"/>
                <w:szCs w:val="15"/>
              </w:rPr>
            </w:pPr>
            <w:r>
              <w:rPr>
                <w:rFonts w:hint="eastAsia"/>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exact"/>
          <w:jc w:val="center"/>
        </w:trPr>
        <w:tc>
          <w:tcPr>
            <w:tcW w:w="345" w:type="dxa"/>
            <w:vMerge w:val="continue"/>
            <w:textDirection w:val="tbRlV"/>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项目名称</w:t>
            </w:r>
          </w:p>
        </w:tc>
        <w:tc>
          <w:tcPr>
            <w:tcW w:w="4763" w:type="dxa"/>
            <w:gridSpan w:val="7"/>
            <w:vAlign w:val="center"/>
          </w:tcPr>
          <w:p>
            <w:pPr>
              <w:pStyle w:val="27"/>
              <w:rPr>
                <w:b/>
                <w:bCs/>
                <w:sz w:val="18"/>
                <w:szCs w:val="18"/>
              </w:rPr>
            </w:pPr>
            <w:r>
              <w:rPr>
                <w:rFonts w:hint="eastAsia"/>
                <w:b/>
                <w:bCs/>
                <w:sz w:val="18"/>
                <w:szCs w:val="18"/>
              </w:rPr>
              <w:t>灵通横港物流园L-CNC油气合建站项目</w:t>
            </w:r>
          </w:p>
        </w:tc>
        <w:tc>
          <w:tcPr>
            <w:tcW w:w="1936" w:type="dxa"/>
            <w:gridSpan w:val="2"/>
            <w:vAlign w:val="center"/>
          </w:tcPr>
          <w:p>
            <w:pPr>
              <w:pStyle w:val="27"/>
              <w:rPr>
                <w:b/>
                <w:bCs/>
                <w:sz w:val="15"/>
                <w:szCs w:val="15"/>
              </w:rPr>
            </w:pPr>
            <w:r>
              <w:rPr>
                <w:b/>
                <w:bCs/>
                <w:sz w:val="15"/>
                <w:szCs w:val="15"/>
              </w:rPr>
              <w:t>项目代码</w:t>
            </w:r>
          </w:p>
        </w:tc>
        <w:tc>
          <w:tcPr>
            <w:tcW w:w="2533" w:type="dxa"/>
            <w:gridSpan w:val="3"/>
            <w:vAlign w:val="center"/>
          </w:tcPr>
          <w:p>
            <w:pPr>
              <w:pStyle w:val="27"/>
              <w:rPr>
                <w:b/>
                <w:bCs/>
                <w:sz w:val="15"/>
                <w:szCs w:val="15"/>
              </w:rPr>
            </w:pPr>
          </w:p>
        </w:tc>
        <w:tc>
          <w:tcPr>
            <w:tcW w:w="992" w:type="dxa"/>
            <w:vAlign w:val="center"/>
          </w:tcPr>
          <w:p>
            <w:pPr>
              <w:pStyle w:val="27"/>
              <w:rPr>
                <w:b/>
                <w:bCs/>
                <w:sz w:val="15"/>
                <w:szCs w:val="15"/>
              </w:rPr>
            </w:pPr>
            <w:r>
              <w:rPr>
                <w:b/>
                <w:bCs/>
                <w:sz w:val="15"/>
                <w:szCs w:val="15"/>
              </w:rPr>
              <w:t>建设地点</w:t>
            </w:r>
          </w:p>
        </w:tc>
        <w:tc>
          <w:tcPr>
            <w:tcW w:w="2409" w:type="dxa"/>
            <w:gridSpan w:val="5"/>
            <w:vAlign w:val="center"/>
          </w:tcPr>
          <w:p>
            <w:pPr>
              <w:pStyle w:val="27"/>
              <w:rPr>
                <w:b/>
                <w:bCs/>
                <w:sz w:val="15"/>
                <w:szCs w:val="15"/>
              </w:rPr>
            </w:pPr>
            <w:r>
              <w:rPr>
                <w:rFonts w:hint="eastAsia"/>
                <w:b/>
                <w:bCs/>
                <w:sz w:val="15"/>
                <w:szCs w:val="15"/>
              </w:rPr>
              <w:t>铜陵市郊区长江村铜官大道东侧、横港物流园北侧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行业类别</w:t>
            </w:r>
          </w:p>
        </w:tc>
        <w:tc>
          <w:tcPr>
            <w:tcW w:w="4763" w:type="dxa"/>
            <w:gridSpan w:val="7"/>
            <w:vAlign w:val="center"/>
          </w:tcPr>
          <w:p>
            <w:pPr>
              <w:pStyle w:val="27"/>
              <w:rPr>
                <w:b/>
                <w:bCs/>
                <w:sz w:val="18"/>
                <w:szCs w:val="18"/>
              </w:rPr>
            </w:pPr>
            <w:r>
              <w:rPr>
                <w:rFonts w:hint="eastAsia"/>
                <w:b/>
                <w:bCs/>
                <w:sz w:val="18"/>
                <w:szCs w:val="18"/>
              </w:rPr>
              <w:t>D4511 天然气生产和供应业</w:t>
            </w:r>
          </w:p>
        </w:tc>
        <w:tc>
          <w:tcPr>
            <w:tcW w:w="1936" w:type="dxa"/>
            <w:gridSpan w:val="2"/>
            <w:vAlign w:val="center"/>
          </w:tcPr>
          <w:p>
            <w:pPr>
              <w:pStyle w:val="27"/>
              <w:rPr>
                <w:b/>
                <w:bCs/>
                <w:sz w:val="15"/>
                <w:szCs w:val="15"/>
              </w:rPr>
            </w:pPr>
            <w:r>
              <w:rPr>
                <w:b/>
                <w:bCs/>
                <w:sz w:val="15"/>
                <w:szCs w:val="15"/>
              </w:rPr>
              <w:t>建设性质</w:t>
            </w:r>
          </w:p>
        </w:tc>
        <w:tc>
          <w:tcPr>
            <w:tcW w:w="5934" w:type="dxa"/>
            <w:gridSpan w:val="9"/>
            <w:vAlign w:val="center"/>
          </w:tcPr>
          <w:p>
            <w:pPr>
              <w:pStyle w:val="27"/>
              <w:rPr>
                <w:b/>
                <w:bCs/>
                <w:sz w:val="15"/>
                <w:szCs w:val="15"/>
              </w:rPr>
            </w:pPr>
            <w:r>
              <w:rPr>
                <w:rFonts w:hint="eastAsia"/>
                <w:b/>
                <w:bCs/>
                <w:sz w:val="15"/>
                <w:szCs w:val="15"/>
              </w:rPr>
              <w:t>☑</w:t>
            </w:r>
            <w:r>
              <w:rPr>
                <w:b/>
                <w:bCs/>
                <w:sz w:val="15"/>
                <w:szCs w:val="15"/>
              </w:rPr>
              <w:t xml:space="preserve">新 建    </w:t>
            </w:r>
            <w:r>
              <w:rPr>
                <w:rFonts w:hint="eastAsia"/>
                <w:b/>
                <w:bCs/>
                <w:sz w:val="15"/>
                <w:szCs w:val="15"/>
              </w:rPr>
              <w:t>□</w:t>
            </w:r>
            <w:r>
              <w:rPr>
                <w:b/>
                <w:bCs/>
                <w:sz w:val="15"/>
                <w:szCs w:val="15"/>
              </w:rPr>
              <w:t xml:space="preserve">改、扩 建       </w:t>
            </w:r>
            <w:r>
              <w:rPr>
                <w:rFonts w:hint="eastAsia"/>
                <w:b/>
                <w:bCs/>
                <w:sz w:val="15"/>
                <w:szCs w:val="15"/>
              </w:rPr>
              <w:t>□</w:t>
            </w:r>
            <w:r>
              <w:rPr>
                <w:b/>
                <w:bCs/>
                <w:sz w:val="15"/>
                <w:szCs w:val="15"/>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设计生产能力</w:t>
            </w:r>
          </w:p>
        </w:tc>
        <w:tc>
          <w:tcPr>
            <w:tcW w:w="4763" w:type="dxa"/>
            <w:gridSpan w:val="7"/>
            <w:vAlign w:val="center"/>
          </w:tcPr>
          <w:p>
            <w:pPr>
              <w:spacing w:line="240" w:lineRule="auto"/>
              <w:ind w:firstLine="0" w:firstLineChars="0"/>
              <w:jc w:val="center"/>
              <w:rPr>
                <w:color w:val="000000"/>
                <w:sz w:val="18"/>
                <w:szCs w:val="18"/>
              </w:rPr>
            </w:pPr>
            <w:r>
              <w:rPr>
                <w:rFonts w:hint="eastAsia"/>
                <w:bCs/>
                <w:sz w:val="18"/>
                <w:szCs w:val="18"/>
              </w:rPr>
              <w:t>年供汽油2</w:t>
            </w:r>
            <w:r>
              <w:rPr>
                <w:bCs/>
                <w:sz w:val="18"/>
                <w:szCs w:val="18"/>
              </w:rPr>
              <w:t>537</w:t>
            </w:r>
            <w:r>
              <w:rPr>
                <w:rFonts w:hint="eastAsia"/>
                <w:bCs/>
                <w:sz w:val="18"/>
                <w:szCs w:val="18"/>
              </w:rPr>
              <w:t>t、柴油</w:t>
            </w:r>
            <w:r>
              <w:rPr>
                <w:bCs/>
                <w:sz w:val="18"/>
                <w:szCs w:val="18"/>
              </w:rPr>
              <w:t>3044t</w:t>
            </w:r>
            <w:r>
              <w:rPr>
                <w:rFonts w:hint="eastAsia"/>
                <w:bCs/>
                <w:sz w:val="18"/>
                <w:szCs w:val="18"/>
              </w:rPr>
              <w:t xml:space="preserve"> 、L</w:t>
            </w:r>
            <w:r>
              <w:rPr>
                <w:bCs/>
                <w:sz w:val="18"/>
                <w:szCs w:val="18"/>
              </w:rPr>
              <w:t>NG 5.48×10</w:t>
            </w:r>
            <w:r>
              <w:rPr>
                <w:bCs/>
                <w:sz w:val="18"/>
                <w:szCs w:val="18"/>
                <w:vertAlign w:val="superscript"/>
              </w:rPr>
              <w:t>6</w:t>
            </w:r>
            <w:r>
              <w:rPr>
                <w:bCs/>
                <w:sz w:val="18"/>
                <w:szCs w:val="18"/>
              </w:rPr>
              <w:t>Nm</w:t>
            </w:r>
            <w:r>
              <w:rPr>
                <w:bCs/>
                <w:sz w:val="18"/>
                <w:szCs w:val="18"/>
                <w:vertAlign w:val="superscript"/>
              </w:rPr>
              <w:t>3</w:t>
            </w:r>
            <w:r>
              <w:rPr>
                <w:rFonts w:hint="eastAsia"/>
                <w:bCs/>
                <w:sz w:val="18"/>
                <w:szCs w:val="18"/>
              </w:rPr>
              <w:t>、C</w:t>
            </w:r>
            <w:r>
              <w:rPr>
                <w:bCs/>
                <w:sz w:val="18"/>
                <w:szCs w:val="18"/>
              </w:rPr>
              <w:t xml:space="preserve">NC </w:t>
            </w:r>
            <w:r>
              <w:rPr>
                <w:sz w:val="18"/>
                <w:szCs w:val="18"/>
              </w:rPr>
              <w:t>1.</w:t>
            </w:r>
            <w:r>
              <w:rPr>
                <w:rFonts w:hint="eastAsia"/>
                <w:sz w:val="18"/>
                <w:szCs w:val="18"/>
              </w:rPr>
              <w:t>46</w:t>
            </w:r>
            <w:r>
              <w:rPr>
                <w:sz w:val="18"/>
                <w:szCs w:val="18"/>
              </w:rPr>
              <w:t>×10</w:t>
            </w:r>
            <w:r>
              <w:rPr>
                <w:rFonts w:hint="eastAsia"/>
                <w:sz w:val="18"/>
                <w:szCs w:val="18"/>
                <w:vertAlign w:val="superscript"/>
              </w:rPr>
              <w:t>6</w:t>
            </w:r>
            <w:r>
              <w:rPr>
                <w:sz w:val="18"/>
                <w:szCs w:val="18"/>
              </w:rPr>
              <w:t>Nm</w:t>
            </w:r>
            <w:r>
              <w:rPr>
                <w:sz w:val="18"/>
                <w:szCs w:val="18"/>
                <w:vertAlign w:val="superscript"/>
              </w:rPr>
              <w:t>3</w:t>
            </w:r>
          </w:p>
        </w:tc>
        <w:tc>
          <w:tcPr>
            <w:tcW w:w="1936" w:type="dxa"/>
            <w:gridSpan w:val="2"/>
            <w:vAlign w:val="center"/>
          </w:tcPr>
          <w:p>
            <w:pPr>
              <w:pStyle w:val="27"/>
              <w:rPr>
                <w:b/>
                <w:bCs/>
                <w:sz w:val="15"/>
                <w:szCs w:val="15"/>
              </w:rPr>
            </w:pPr>
            <w:r>
              <w:rPr>
                <w:b/>
                <w:bCs/>
                <w:sz w:val="15"/>
                <w:szCs w:val="15"/>
              </w:rPr>
              <w:t>实际生产能力</w:t>
            </w:r>
          </w:p>
        </w:tc>
        <w:tc>
          <w:tcPr>
            <w:tcW w:w="1858" w:type="dxa"/>
            <w:gridSpan w:val="2"/>
            <w:vAlign w:val="center"/>
          </w:tcPr>
          <w:p>
            <w:pPr>
              <w:pStyle w:val="27"/>
              <w:jc w:val="left"/>
              <w:rPr>
                <w:b/>
                <w:bCs/>
                <w:sz w:val="15"/>
                <w:szCs w:val="15"/>
              </w:rPr>
            </w:pPr>
            <w:r>
              <w:rPr>
                <w:rFonts w:hint="eastAsia"/>
                <w:b/>
                <w:bCs/>
                <w:sz w:val="15"/>
                <w:szCs w:val="15"/>
              </w:rPr>
              <w:t>年供汽油2500t、柴油3000t 、LNG 2.50×106Nm</w:t>
            </w:r>
            <w:r>
              <w:rPr>
                <w:rFonts w:hint="eastAsia"/>
                <w:b/>
                <w:bCs/>
                <w:sz w:val="15"/>
                <w:szCs w:val="15"/>
                <w:vertAlign w:val="superscript"/>
              </w:rPr>
              <w:t>3</w:t>
            </w:r>
            <w:r>
              <w:rPr>
                <w:rFonts w:hint="eastAsia"/>
                <w:b/>
                <w:bCs/>
                <w:sz w:val="15"/>
                <w:szCs w:val="15"/>
              </w:rPr>
              <w:t>、CNC1.20×106Nm</w:t>
            </w:r>
            <w:r>
              <w:rPr>
                <w:rFonts w:hint="eastAsia"/>
                <w:b/>
                <w:bCs/>
                <w:sz w:val="15"/>
                <w:szCs w:val="15"/>
                <w:vertAlign w:val="superscript"/>
              </w:rPr>
              <w:t>3</w:t>
            </w:r>
          </w:p>
        </w:tc>
        <w:tc>
          <w:tcPr>
            <w:tcW w:w="1817" w:type="dxa"/>
            <w:gridSpan w:val="3"/>
            <w:vAlign w:val="center"/>
          </w:tcPr>
          <w:p>
            <w:pPr>
              <w:pStyle w:val="27"/>
              <w:rPr>
                <w:b/>
                <w:bCs/>
                <w:sz w:val="15"/>
                <w:szCs w:val="15"/>
              </w:rPr>
            </w:pPr>
            <w:r>
              <w:rPr>
                <w:b/>
                <w:bCs/>
                <w:sz w:val="15"/>
                <w:szCs w:val="15"/>
              </w:rPr>
              <w:t>环评单位</w:t>
            </w:r>
          </w:p>
        </w:tc>
        <w:tc>
          <w:tcPr>
            <w:tcW w:w="2259" w:type="dxa"/>
            <w:gridSpan w:val="4"/>
            <w:vAlign w:val="center"/>
          </w:tcPr>
          <w:p>
            <w:pPr>
              <w:pStyle w:val="27"/>
              <w:rPr>
                <w:b/>
                <w:bCs/>
                <w:sz w:val="15"/>
                <w:szCs w:val="15"/>
              </w:rPr>
            </w:pPr>
            <w:r>
              <w:rPr>
                <w:rFonts w:hint="eastAsia"/>
                <w:b/>
                <w:bCs/>
                <w:sz w:val="15"/>
                <w:szCs w:val="15"/>
              </w:rPr>
              <w:t>安徽禹水华阳环境工程有限公司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环评文件审批单位</w:t>
            </w:r>
          </w:p>
        </w:tc>
        <w:tc>
          <w:tcPr>
            <w:tcW w:w="4763" w:type="dxa"/>
            <w:gridSpan w:val="7"/>
            <w:vAlign w:val="center"/>
          </w:tcPr>
          <w:p>
            <w:pPr>
              <w:pStyle w:val="27"/>
              <w:rPr>
                <w:b/>
                <w:bCs/>
                <w:sz w:val="15"/>
                <w:szCs w:val="15"/>
              </w:rPr>
            </w:pPr>
            <w:r>
              <w:rPr>
                <w:rFonts w:hint="eastAsia"/>
                <w:b/>
                <w:bCs/>
                <w:sz w:val="15"/>
                <w:szCs w:val="15"/>
              </w:rPr>
              <w:t>铜陵市郊区环境保护局</w:t>
            </w:r>
          </w:p>
        </w:tc>
        <w:tc>
          <w:tcPr>
            <w:tcW w:w="1936" w:type="dxa"/>
            <w:gridSpan w:val="2"/>
            <w:vAlign w:val="center"/>
          </w:tcPr>
          <w:p>
            <w:pPr>
              <w:pStyle w:val="27"/>
              <w:rPr>
                <w:b/>
                <w:bCs/>
                <w:sz w:val="15"/>
                <w:szCs w:val="15"/>
              </w:rPr>
            </w:pPr>
            <w:r>
              <w:rPr>
                <w:b/>
                <w:bCs/>
                <w:sz w:val="15"/>
                <w:szCs w:val="15"/>
              </w:rPr>
              <w:t>审批文号</w:t>
            </w:r>
          </w:p>
        </w:tc>
        <w:tc>
          <w:tcPr>
            <w:tcW w:w="1858" w:type="dxa"/>
            <w:gridSpan w:val="2"/>
            <w:vAlign w:val="center"/>
          </w:tcPr>
          <w:p>
            <w:pPr>
              <w:pStyle w:val="27"/>
              <w:rPr>
                <w:b/>
                <w:bCs/>
                <w:sz w:val="15"/>
                <w:szCs w:val="15"/>
              </w:rPr>
            </w:pPr>
            <w:r>
              <w:rPr>
                <w:rFonts w:hint="eastAsia"/>
                <w:b/>
                <w:bCs/>
                <w:sz w:val="15"/>
                <w:szCs w:val="15"/>
              </w:rPr>
              <w:t>郊环函【201</w:t>
            </w:r>
            <w:r>
              <w:rPr>
                <w:b/>
                <w:bCs/>
                <w:sz w:val="15"/>
                <w:szCs w:val="15"/>
              </w:rPr>
              <w:t>7</w:t>
            </w:r>
            <w:r>
              <w:rPr>
                <w:rFonts w:hint="eastAsia"/>
                <w:b/>
                <w:bCs/>
                <w:sz w:val="15"/>
                <w:szCs w:val="15"/>
              </w:rPr>
              <w:t>】</w:t>
            </w:r>
            <w:r>
              <w:rPr>
                <w:b/>
                <w:bCs/>
                <w:sz w:val="15"/>
                <w:szCs w:val="15"/>
              </w:rPr>
              <w:t>30</w:t>
            </w:r>
            <w:r>
              <w:rPr>
                <w:rFonts w:hint="eastAsia"/>
                <w:b/>
                <w:bCs/>
                <w:sz w:val="15"/>
                <w:szCs w:val="15"/>
              </w:rPr>
              <w:t>号</w:t>
            </w:r>
          </w:p>
        </w:tc>
        <w:tc>
          <w:tcPr>
            <w:tcW w:w="1817" w:type="dxa"/>
            <w:gridSpan w:val="3"/>
            <w:vAlign w:val="center"/>
          </w:tcPr>
          <w:p>
            <w:pPr>
              <w:pStyle w:val="27"/>
              <w:rPr>
                <w:b/>
                <w:bCs/>
                <w:sz w:val="15"/>
                <w:szCs w:val="15"/>
              </w:rPr>
            </w:pPr>
            <w:r>
              <w:rPr>
                <w:b/>
                <w:bCs/>
                <w:sz w:val="15"/>
                <w:szCs w:val="15"/>
              </w:rPr>
              <w:t>环评文件类型</w:t>
            </w:r>
          </w:p>
        </w:tc>
        <w:tc>
          <w:tcPr>
            <w:tcW w:w="2259" w:type="dxa"/>
            <w:gridSpan w:val="4"/>
            <w:vAlign w:val="center"/>
          </w:tcPr>
          <w:p>
            <w:pPr>
              <w:pStyle w:val="27"/>
              <w:rPr>
                <w:b/>
                <w:bCs/>
                <w:sz w:val="15"/>
                <w:szCs w:val="15"/>
              </w:rPr>
            </w:pPr>
            <w:r>
              <w:rPr>
                <w:b/>
                <w:bCs/>
                <w:sz w:val="15"/>
                <w:szCs w:val="15"/>
              </w:rPr>
              <w:t>环境影响评价报告</w:t>
            </w:r>
            <w:r>
              <w:rPr>
                <w:rFonts w:hint="eastAsia"/>
                <w:b/>
                <w:bCs/>
                <w:sz w:val="15"/>
                <w:szCs w:val="15"/>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开工日期</w:t>
            </w:r>
          </w:p>
        </w:tc>
        <w:tc>
          <w:tcPr>
            <w:tcW w:w="4763" w:type="dxa"/>
            <w:gridSpan w:val="7"/>
            <w:vAlign w:val="center"/>
          </w:tcPr>
          <w:p>
            <w:pPr>
              <w:pStyle w:val="27"/>
              <w:rPr>
                <w:b/>
                <w:bCs/>
                <w:sz w:val="15"/>
                <w:szCs w:val="15"/>
              </w:rPr>
            </w:pPr>
            <w:r>
              <w:rPr>
                <w:b/>
                <w:bCs/>
                <w:sz w:val="15"/>
                <w:szCs w:val="15"/>
              </w:rPr>
              <w:t>201</w:t>
            </w:r>
            <w:r>
              <w:rPr>
                <w:rFonts w:hint="eastAsia"/>
                <w:b/>
                <w:bCs/>
                <w:sz w:val="15"/>
                <w:szCs w:val="15"/>
              </w:rPr>
              <w:t>9</w:t>
            </w:r>
            <w:r>
              <w:rPr>
                <w:b/>
                <w:bCs/>
                <w:sz w:val="15"/>
                <w:szCs w:val="15"/>
              </w:rPr>
              <w:t xml:space="preserve">年10月 </w:t>
            </w:r>
          </w:p>
        </w:tc>
        <w:tc>
          <w:tcPr>
            <w:tcW w:w="1936" w:type="dxa"/>
            <w:gridSpan w:val="2"/>
            <w:vAlign w:val="center"/>
          </w:tcPr>
          <w:p>
            <w:pPr>
              <w:pStyle w:val="27"/>
              <w:rPr>
                <w:b/>
                <w:bCs/>
                <w:sz w:val="15"/>
                <w:szCs w:val="15"/>
              </w:rPr>
            </w:pPr>
            <w:r>
              <w:rPr>
                <w:b/>
                <w:bCs/>
                <w:sz w:val="15"/>
                <w:szCs w:val="15"/>
              </w:rPr>
              <w:t>竣工日期</w:t>
            </w:r>
          </w:p>
        </w:tc>
        <w:tc>
          <w:tcPr>
            <w:tcW w:w="1858" w:type="dxa"/>
            <w:gridSpan w:val="2"/>
            <w:vAlign w:val="center"/>
          </w:tcPr>
          <w:p>
            <w:pPr>
              <w:pStyle w:val="27"/>
              <w:rPr>
                <w:b/>
                <w:bCs/>
                <w:sz w:val="15"/>
                <w:szCs w:val="15"/>
              </w:rPr>
            </w:pPr>
            <w:r>
              <w:rPr>
                <w:rFonts w:hint="eastAsia"/>
                <w:b/>
                <w:bCs/>
                <w:sz w:val="15"/>
                <w:szCs w:val="15"/>
              </w:rPr>
              <w:t>20</w:t>
            </w:r>
            <w:r>
              <w:rPr>
                <w:b/>
                <w:bCs/>
                <w:sz w:val="15"/>
                <w:szCs w:val="15"/>
              </w:rPr>
              <w:t>21</w:t>
            </w:r>
            <w:r>
              <w:rPr>
                <w:rFonts w:hint="eastAsia"/>
                <w:b/>
                <w:bCs/>
                <w:sz w:val="15"/>
                <w:szCs w:val="15"/>
              </w:rPr>
              <w:t>年</w:t>
            </w:r>
            <w:r>
              <w:rPr>
                <w:b/>
                <w:bCs/>
                <w:sz w:val="15"/>
                <w:szCs w:val="15"/>
              </w:rPr>
              <w:t>5</w:t>
            </w:r>
            <w:r>
              <w:rPr>
                <w:rFonts w:hint="eastAsia"/>
                <w:b/>
                <w:bCs/>
                <w:sz w:val="15"/>
                <w:szCs w:val="15"/>
              </w:rPr>
              <w:t>月</w:t>
            </w:r>
          </w:p>
        </w:tc>
        <w:tc>
          <w:tcPr>
            <w:tcW w:w="1817" w:type="dxa"/>
            <w:gridSpan w:val="3"/>
            <w:vAlign w:val="center"/>
          </w:tcPr>
          <w:p>
            <w:pPr>
              <w:pStyle w:val="27"/>
              <w:rPr>
                <w:b/>
                <w:bCs/>
                <w:sz w:val="15"/>
                <w:szCs w:val="15"/>
              </w:rPr>
            </w:pPr>
            <w:r>
              <w:rPr>
                <w:b/>
                <w:bCs/>
                <w:sz w:val="15"/>
                <w:szCs w:val="15"/>
              </w:rPr>
              <w:t>排污许可证申领时间</w:t>
            </w:r>
          </w:p>
        </w:tc>
        <w:tc>
          <w:tcPr>
            <w:tcW w:w="2259" w:type="dxa"/>
            <w:gridSpan w:val="4"/>
            <w:vAlign w:val="center"/>
          </w:tcPr>
          <w:p>
            <w:pPr>
              <w:pStyle w:val="27"/>
              <w:rPr>
                <w:b/>
                <w:bCs/>
                <w:sz w:val="15"/>
                <w:szCs w:val="15"/>
              </w:rPr>
            </w:pPr>
            <w:r>
              <w:rPr>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环保设施设计单位</w:t>
            </w:r>
          </w:p>
        </w:tc>
        <w:tc>
          <w:tcPr>
            <w:tcW w:w="4763" w:type="dxa"/>
            <w:gridSpan w:val="7"/>
            <w:vAlign w:val="center"/>
          </w:tcPr>
          <w:p>
            <w:pPr>
              <w:pStyle w:val="27"/>
              <w:rPr>
                <w:b/>
                <w:bCs/>
                <w:sz w:val="15"/>
                <w:szCs w:val="15"/>
              </w:rPr>
            </w:pPr>
            <w:r>
              <w:rPr>
                <w:b/>
                <w:bCs/>
                <w:sz w:val="15"/>
                <w:szCs w:val="15"/>
              </w:rPr>
              <w:t>/</w:t>
            </w:r>
          </w:p>
        </w:tc>
        <w:tc>
          <w:tcPr>
            <w:tcW w:w="1936" w:type="dxa"/>
            <w:gridSpan w:val="2"/>
            <w:vAlign w:val="center"/>
          </w:tcPr>
          <w:p>
            <w:pPr>
              <w:pStyle w:val="27"/>
              <w:rPr>
                <w:b/>
                <w:bCs/>
                <w:sz w:val="15"/>
                <w:szCs w:val="15"/>
              </w:rPr>
            </w:pPr>
            <w:r>
              <w:rPr>
                <w:b/>
                <w:bCs/>
                <w:sz w:val="15"/>
                <w:szCs w:val="15"/>
              </w:rPr>
              <w:t>环保设施施工单位</w:t>
            </w:r>
          </w:p>
        </w:tc>
        <w:tc>
          <w:tcPr>
            <w:tcW w:w="1858" w:type="dxa"/>
            <w:gridSpan w:val="2"/>
            <w:vAlign w:val="center"/>
          </w:tcPr>
          <w:p>
            <w:pPr>
              <w:pStyle w:val="27"/>
              <w:rPr>
                <w:b/>
                <w:bCs/>
                <w:sz w:val="15"/>
                <w:szCs w:val="15"/>
              </w:rPr>
            </w:pPr>
            <w:r>
              <w:rPr>
                <w:rFonts w:hint="eastAsia"/>
                <w:b/>
                <w:bCs/>
                <w:sz w:val="15"/>
                <w:szCs w:val="15"/>
              </w:rPr>
              <w:t>/</w:t>
            </w:r>
          </w:p>
        </w:tc>
        <w:tc>
          <w:tcPr>
            <w:tcW w:w="1817" w:type="dxa"/>
            <w:gridSpan w:val="3"/>
            <w:vAlign w:val="center"/>
          </w:tcPr>
          <w:p>
            <w:pPr>
              <w:pStyle w:val="27"/>
              <w:rPr>
                <w:b/>
                <w:bCs/>
                <w:sz w:val="15"/>
                <w:szCs w:val="15"/>
              </w:rPr>
            </w:pPr>
            <w:r>
              <w:rPr>
                <w:b/>
                <w:bCs/>
                <w:sz w:val="15"/>
                <w:szCs w:val="15"/>
              </w:rPr>
              <w:t>本工程排污许可证编号</w:t>
            </w:r>
          </w:p>
        </w:tc>
        <w:tc>
          <w:tcPr>
            <w:tcW w:w="2259" w:type="dxa"/>
            <w:gridSpan w:val="4"/>
            <w:vAlign w:val="center"/>
          </w:tcPr>
          <w:p>
            <w:pPr>
              <w:pStyle w:val="27"/>
              <w:rPr>
                <w:b/>
                <w:bCs/>
                <w:sz w:val="15"/>
                <w:szCs w:val="15"/>
              </w:rPr>
            </w:pPr>
            <w:r>
              <w:rPr>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验收</w:t>
            </w:r>
            <w:r>
              <w:rPr>
                <w:rFonts w:hint="eastAsia"/>
                <w:b/>
                <w:bCs/>
                <w:sz w:val="15"/>
                <w:szCs w:val="15"/>
              </w:rPr>
              <w:t>报告编制</w:t>
            </w:r>
            <w:r>
              <w:rPr>
                <w:b/>
                <w:bCs/>
                <w:sz w:val="15"/>
                <w:szCs w:val="15"/>
              </w:rPr>
              <w:t>单位</w:t>
            </w:r>
          </w:p>
        </w:tc>
        <w:tc>
          <w:tcPr>
            <w:tcW w:w="4763" w:type="dxa"/>
            <w:gridSpan w:val="7"/>
            <w:vAlign w:val="center"/>
          </w:tcPr>
          <w:p>
            <w:pPr>
              <w:pStyle w:val="27"/>
              <w:rPr>
                <w:b/>
                <w:bCs/>
                <w:sz w:val="15"/>
                <w:szCs w:val="15"/>
              </w:rPr>
            </w:pPr>
            <w:r>
              <w:rPr>
                <w:b/>
                <w:bCs/>
                <w:sz w:val="15"/>
                <w:szCs w:val="15"/>
              </w:rPr>
              <w:t>安徽</w:t>
            </w:r>
            <w:r>
              <w:rPr>
                <w:rFonts w:hint="eastAsia"/>
                <w:b/>
                <w:bCs/>
                <w:sz w:val="15"/>
                <w:szCs w:val="15"/>
              </w:rPr>
              <w:t>世纪鑫源环保科技</w:t>
            </w:r>
            <w:r>
              <w:rPr>
                <w:b/>
                <w:bCs/>
                <w:sz w:val="15"/>
                <w:szCs w:val="15"/>
              </w:rPr>
              <w:t>有限公司</w:t>
            </w:r>
          </w:p>
        </w:tc>
        <w:tc>
          <w:tcPr>
            <w:tcW w:w="1936" w:type="dxa"/>
            <w:gridSpan w:val="2"/>
            <w:vAlign w:val="center"/>
          </w:tcPr>
          <w:p>
            <w:pPr>
              <w:pStyle w:val="27"/>
              <w:rPr>
                <w:b/>
                <w:bCs/>
                <w:sz w:val="15"/>
                <w:szCs w:val="15"/>
              </w:rPr>
            </w:pPr>
            <w:r>
              <w:rPr>
                <w:b/>
                <w:bCs/>
                <w:sz w:val="15"/>
                <w:szCs w:val="15"/>
              </w:rPr>
              <w:t>环保设施检测单位</w:t>
            </w:r>
          </w:p>
        </w:tc>
        <w:tc>
          <w:tcPr>
            <w:tcW w:w="1858" w:type="dxa"/>
            <w:gridSpan w:val="2"/>
            <w:vAlign w:val="center"/>
          </w:tcPr>
          <w:p>
            <w:pPr>
              <w:pStyle w:val="27"/>
              <w:jc w:val="both"/>
              <w:rPr>
                <w:b/>
                <w:bCs/>
                <w:sz w:val="15"/>
                <w:szCs w:val="15"/>
              </w:rPr>
            </w:pPr>
            <w:r>
              <w:rPr>
                <w:rFonts w:hint="eastAsia"/>
                <w:b/>
                <w:bCs/>
                <w:sz w:val="15"/>
                <w:szCs w:val="15"/>
              </w:rPr>
              <w:t>安徽诚翔分析测试科技有限公司</w:t>
            </w:r>
          </w:p>
        </w:tc>
        <w:tc>
          <w:tcPr>
            <w:tcW w:w="1817" w:type="dxa"/>
            <w:gridSpan w:val="3"/>
            <w:vAlign w:val="center"/>
          </w:tcPr>
          <w:p>
            <w:pPr>
              <w:pStyle w:val="27"/>
              <w:rPr>
                <w:b/>
                <w:bCs/>
                <w:sz w:val="15"/>
                <w:szCs w:val="15"/>
              </w:rPr>
            </w:pPr>
            <w:r>
              <w:rPr>
                <w:b/>
                <w:bCs/>
                <w:sz w:val="15"/>
                <w:szCs w:val="15"/>
              </w:rPr>
              <w:t>验收监测时工况</w:t>
            </w:r>
          </w:p>
        </w:tc>
        <w:tc>
          <w:tcPr>
            <w:tcW w:w="2259" w:type="dxa"/>
            <w:gridSpan w:val="4"/>
            <w:vAlign w:val="center"/>
          </w:tcPr>
          <w:p>
            <w:pPr>
              <w:pStyle w:val="27"/>
              <w:rPr>
                <w:b/>
                <w:bCs/>
                <w:sz w:val="15"/>
                <w:szCs w:val="15"/>
              </w:rPr>
            </w:pPr>
            <w:r>
              <w:rPr>
                <w:rFonts w:hint="eastAsia"/>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投资总概算(万元)</w:t>
            </w:r>
          </w:p>
        </w:tc>
        <w:tc>
          <w:tcPr>
            <w:tcW w:w="4763" w:type="dxa"/>
            <w:gridSpan w:val="7"/>
            <w:vAlign w:val="center"/>
          </w:tcPr>
          <w:p>
            <w:pPr>
              <w:pStyle w:val="27"/>
              <w:rPr>
                <w:b/>
                <w:bCs/>
                <w:sz w:val="15"/>
                <w:szCs w:val="15"/>
              </w:rPr>
            </w:pPr>
            <w:r>
              <w:rPr>
                <w:b/>
                <w:bCs/>
                <w:sz w:val="15"/>
                <w:szCs w:val="15"/>
              </w:rPr>
              <w:t>3000</w:t>
            </w:r>
          </w:p>
        </w:tc>
        <w:tc>
          <w:tcPr>
            <w:tcW w:w="1936" w:type="dxa"/>
            <w:gridSpan w:val="2"/>
            <w:vAlign w:val="center"/>
          </w:tcPr>
          <w:p>
            <w:pPr>
              <w:pStyle w:val="27"/>
              <w:rPr>
                <w:b/>
                <w:bCs/>
                <w:sz w:val="15"/>
                <w:szCs w:val="15"/>
              </w:rPr>
            </w:pPr>
            <w:r>
              <w:rPr>
                <w:b/>
                <w:bCs/>
                <w:sz w:val="15"/>
                <w:szCs w:val="15"/>
              </w:rPr>
              <w:t>环保投资总概算(万元)</w:t>
            </w:r>
          </w:p>
        </w:tc>
        <w:tc>
          <w:tcPr>
            <w:tcW w:w="1858" w:type="dxa"/>
            <w:gridSpan w:val="2"/>
            <w:vAlign w:val="center"/>
          </w:tcPr>
          <w:p>
            <w:pPr>
              <w:pStyle w:val="27"/>
              <w:rPr>
                <w:b/>
                <w:bCs/>
                <w:sz w:val="15"/>
                <w:szCs w:val="15"/>
              </w:rPr>
            </w:pPr>
            <w:r>
              <w:rPr>
                <w:rFonts w:hint="eastAsia"/>
                <w:b/>
                <w:bCs/>
                <w:sz w:val="15"/>
                <w:szCs w:val="15"/>
              </w:rPr>
              <w:t>4</w:t>
            </w:r>
            <w:r>
              <w:rPr>
                <w:b/>
                <w:bCs/>
                <w:sz w:val="15"/>
                <w:szCs w:val="15"/>
              </w:rPr>
              <w:t>5</w:t>
            </w:r>
          </w:p>
        </w:tc>
        <w:tc>
          <w:tcPr>
            <w:tcW w:w="1817" w:type="dxa"/>
            <w:gridSpan w:val="3"/>
            <w:vAlign w:val="center"/>
          </w:tcPr>
          <w:p>
            <w:pPr>
              <w:pStyle w:val="27"/>
              <w:rPr>
                <w:b/>
                <w:bCs/>
                <w:sz w:val="15"/>
                <w:szCs w:val="15"/>
              </w:rPr>
            </w:pPr>
            <w:r>
              <w:rPr>
                <w:b/>
                <w:bCs/>
                <w:sz w:val="15"/>
                <w:szCs w:val="15"/>
              </w:rPr>
              <w:t>所占比例(%)</w:t>
            </w:r>
          </w:p>
        </w:tc>
        <w:tc>
          <w:tcPr>
            <w:tcW w:w="2259" w:type="dxa"/>
            <w:gridSpan w:val="4"/>
            <w:vAlign w:val="center"/>
          </w:tcPr>
          <w:p>
            <w:pPr>
              <w:pStyle w:val="27"/>
              <w:rPr>
                <w:b/>
                <w:bCs/>
                <w:sz w:val="15"/>
                <w:szCs w:val="15"/>
              </w:rPr>
            </w:pPr>
            <w:r>
              <w:rPr>
                <w:rFonts w:hint="eastAsia"/>
                <w:b/>
                <w:bCs/>
                <w:sz w:val="15"/>
                <w:szCs w:val="15"/>
                <w:lang w:val="en-US" w:eastAsia="zh-CN"/>
              </w:rPr>
              <w:t>1.5</w:t>
            </w:r>
            <w:r>
              <w:rPr>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实际总投资(万元)</w:t>
            </w:r>
          </w:p>
        </w:tc>
        <w:tc>
          <w:tcPr>
            <w:tcW w:w="4763" w:type="dxa"/>
            <w:gridSpan w:val="7"/>
            <w:vAlign w:val="center"/>
          </w:tcPr>
          <w:p>
            <w:pPr>
              <w:pStyle w:val="27"/>
              <w:rPr>
                <w:b/>
                <w:bCs/>
                <w:sz w:val="15"/>
                <w:szCs w:val="15"/>
              </w:rPr>
            </w:pPr>
            <w:r>
              <w:rPr>
                <w:b/>
                <w:bCs/>
                <w:sz w:val="15"/>
                <w:szCs w:val="15"/>
              </w:rPr>
              <w:t>3890</w:t>
            </w:r>
          </w:p>
        </w:tc>
        <w:tc>
          <w:tcPr>
            <w:tcW w:w="1936" w:type="dxa"/>
            <w:gridSpan w:val="2"/>
            <w:vAlign w:val="center"/>
          </w:tcPr>
          <w:p>
            <w:pPr>
              <w:pStyle w:val="27"/>
              <w:rPr>
                <w:b/>
                <w:bCs/>
                <w:sz w:val="15"/>
                <w:szCs w:val="15"/>
              </w:rPr>
            </w:pPr>
            <w:r>
              <w:rPr>
                <w:b/>
                <w:bCs/>
                <w:sz w:val="15"/>
                <w:szCs w:val="15"/>
              </w:rPr>
              <w:t>实际环保投资(万元)</w:t>
            </w:r>
          </w:p>
        </w:tc>
        <w:tc>
          <w:tcPr>
            <w:tcW w:w="1858" w:type="dxa"/>
            <w:gridSpan w:val="2"/>
            <w:vAlign w:val="center"/>
          </w:tcPr>
          <w:p>
            <w:pPr>
              <w:pStyle w:val="27"/>
              <w:rPr>
                <w:rFonts w:hint="default" w:eastAsia="宋体"/>
                <w:b/>
                <w:bCs/>
                <w:sz w:val="15"/>
                <w:szCs w:val="15"/>
                <w:lang w:val="en-US" w:eastAsia="zh-CN"/>
              </w:rPr>
            </w:pPr>
            <w:r>
              <w:rPr>
                <w:rFonts w:hint="eastAsia"/>
                <w:b/>
                <w:bCs/>
                <w:sz w:val="15"/>
                <w:szCs w:val="15"/>
                <w:lang w:val="en-US" w:eastAsia="zh-CN"/>
              </w:rPr>
              <w:t>63</w:t>
            </w:r>
          </w:p>
        </w:tc>
        <w:tc>
          <w:tcPr>
            <w:tcW w:w="1817" w:type="dxa"/>
            <w:gridSpan w:val="3"/>
            <w:vAlign w:val="center"/>
          </w:tcPr>
          <w:p>
            <w:pPr>
              <w:pStyle w:val="27"/>
              <w:rPr>
                <w:b/>
                <w:bCs/>
                <w:sz w:val="15"/>
                <w:szCs w:val="15"/>
              </w:rPr>
            </w:pPr>
            <w:r>
              <w:rPr>
                <w:b/>
                <w:bCs/>
                <w:sz w:val="15"/>
                <w:szCs w:val="15"/>
              </w:rPr>
              <w:t>所占比例(%)</w:t>
            </w:r>
          </w:p>
        </w:tc>
        <w:tc>
          <w:tcPr>
            <w:tcW w:w="2259" w:type="dxa"/>
            <w:gridSpan w:val="4"/>
            <w:vAlign w:val="center"/>
          </w:tcPr>
          <w:p>
            <w:pPr>
              <w:pStyle w:val="27"/>
              <w:rPr>
                <w:b/>
                <w:bCs/>
                <w:sz w:val="15"/>
                <w:szCs w:val="15"/>
              </w:rPr>
            </w:pPr>
            <w:r>
              <w:rPr>
                <w:rFonts w:hint="eastAsia"/>
                <w:b/>
                <w:bCs/>
                <w:sz w:val="15"/>
                <w:szCs w:val="15"/>
                <w:lang w:val="en-US" w:eastAsia="zh-CN"/>
              </w:rPr>
              <w:t>1.62</w:t>
            </w:r>
            <w:r>
              <w:rPr>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废水治理(万元)</w:t>
            </w:r>
          </w:p>
        </w:tc>
        <w:tc>
          <w:tcPr>
            <w:tcW w:w="531" w:type="dxa"/>
            <w:vAlign w:val="center"/>
          </w:tcPr>
          <w:p>
            <w:pPr>
              <w:pStyle w:val="27"/>
              <w:rPr>
                <w:rFonts w:hint="default" w:eastAsia="宋体"/>
                <w:b/>
                <w:bCs/>
                <w:sz w:val="15"/>
                <w:szCs w:val="15"/>
                <w:lang w:val="en-US" w:eastAsia="zh-CN"/>
              </w:rPr>
            </w:pPr>
            <w:r>
              <w:rPr>
                <w:rFonts w:hint="eastAsia"/>
                <w:b/>
                <w:bCs/>
                <w:sz w:val="15"/>
                <w:szCs w:val="15"/>
                <w:lang w:val="en-US" w:eastAsia="zh-CN"/>
              </w:rPr>
              <w:t>15</w:t>
            </w:r>
          </w:p>
        </w:tc>
        <w:tc>
          <w:tcPr>
            <w:tcW w:w="1263" w:type="dxa"/>
            <w:gridSpan w:val="2"/>
            <w:vAlign w:val="center"/>
          </w:tcPr>
          <w:p>
            <w:pPr>
              <w:pStyle w:val="27"/>
              <w:jc w:val="both"/>
              <w:rPr>
                <w:b/>
                <w:bCs/>
                <w:sz w:val="15"/>
                <w:szCs w:val="15"/>
              </w:rPr>
            </w:pPr>
            <w:r>
              <w:rPr>
                <w:b/>
                <w:bCs/>
                <w:sz w:val="15"/>
                <w:szCs w:val="15"/>
              </w:rPr>
              <w:t>废气治理(万元)</w:t>
            </w:r>
          </w:p>
        </w:tc>
        <w:tc>
          <w:tcPr>
            <w:tcW w:w="831" w:type="dxa"/>
            <w:vAlign w:val="center"/>
          </w:tcPr>
          <w:p>
            <w:pPr>
              <w:pStyle w:val="27"/>
              <w:rPr>
                <w:rFonts w:hint="default" w:eastAsia="宋体"/>
                <w:b/>
                <w:bCs/>
                <w:sz w:val="15"/>
                <w:szCs w:val="15"/>
                <w:lang w:val="en-US" w:eastAsia="zh-CN"/>
              </w:rPr>
            </w:pPr>
            <w:r>
              <w:rPr>
                <w:rFonts w:hint="eastAsia"/>
                <w:b/>
                <w:bCs/>
                <w:sz w:val="15"/>
                <w:szCs w:val="15"/>
                <w:lang w:val="en-US" w:eastAsia="zh-CN"/>
              </w:rPr>
              <w:t>10</w:t>
            </w:r>
          </w:p>
        </w:tc>
        <w:tc>
          <w:tcPr>
            <w:tcW w:w="1456" w:type="dxa"/>
            <w:gridSpan w:val="2"/>
            <w:vAlign w:val="center"/>
          </w:tcPr>
          <w:p>
            <w:pPr>
              <w:pStyle w:val="27"/>
              <w:rPr>
                <w:b/>
                <w:bCs/>
                <w:sz w:val="15"/>
                <w:szCs w:val="15"/>
              </w:rPr>
            </w:pPr>
            <w:r>
              <w:rPr>
                <w:b/>
                <w:bCs/>
                <w:sz w:val="15"/>
                <w:szCs w:val="15"/>
              </w:rPr>
              <w:t>噪声治理(万元)</w:t>
            </w:r>
          </w:p>
        </w:tc>
        <w:tc>
          <w:tcPr>
            <w:tcW w:w="682" w:type="dxa"/>
            <w:vAlign w:val="center"/>
          </w:tcPr>
          <w:p>
            <w:pPr>
              <w:pStyle w:val="27"/>
              <w:rPr>
                <w:rFonts w:hint="eastAsia" w:eastAsia="宋体"/>
                <w:b/>
                <w:bCs/>
                <w:sz w:val="15"/>
                <w:szCs w:val="15"/>
                <w:lang w:eastAsia="zh-CN"/>
              </w:rPr>
            </w:pPr>
            <w:r>
              <w:rPr>
                <w:rFonts w:hint="eastAsia"/>
                <w:b/>
                <w:bCs/>
                <w:sz w:val="15"/>
                <w:szCs w:val="15"/>
                <w:lang w:val="en-US" w:eastAsia="zh-CN"/>
              </w:rPr>
              <w:t>3</w:t>
            </w:r>
          </w:p>
        </w:tc>
        <w:tc>
          <w:tcPr>
            <w:tcW w:w="1936" w:type="dxa"/>
            <w:gridSpan w:val="2"/>
            <w:vAlign w:val="center"/>
          </w:tcPr>
          <w:p>
            <w:pPr>
              <w:pStyle w:val="27"/>
              <w:rPr>
                <w:b/>
                <w:bCs/>
                <w:sz w:val="15"/>
                <w:szCs w:val="15"/>
              </w:rPr>
            </w:pPr>
            <w:r>
              <w:rPr>
                <w:b/>
                <w:bCs/>
                <w:sz w:val="15"/>
                <w:szCs w:val="15"/>
              </w:rPr>
              <w:t>固废治理(万元)</w:t>
            </w:r>
          </w:p>
        </w:tc>
        <w:tc>
          <w:tcPr>
            <w:tcW w:w="1858" w:type="dxa"/>
            <w:gridSpan w:val="2"/>
            <w:vAlign w:val="center"/>
          </w:tcPr>
          <w:p>
            <w:pPr>
              <w:pStyle w:val="27"/>
              <w:rPr>
                <w:rFonts w:hint="eastAsia" w:eastAsia="宋体"/>
                <w:b/>
                <w:bCs/>
                <w:sz w:val="15"/>
                <w:szCs w:val="15"/>
                <w:lang w:eastAsia="zh-CN"/>
              </w:rPr>
            </w:pPr>
            <w:r>
              <w:rPr>
                <w:rFonts w:hint="eastAsia"/>
                <w:b/>
                <w:bCs/>
                <w:sz w:val="15"/>
                <w:szCs w:val="15"/>
                <w:lang w:val="en-US" w:eastAsia="zh-CN"/>
              </w:rPr>
              <w:t>5</w:t>
            </w:r>
          </w:p>
        </w:tc>
        <w:tc>
          <w:tcPr>
            <w:tcW w:w="1817" w:type="dxa"/>
            <w:gridSpan w:val="3"/>
            <w:vAlign w:val="center"/>
          </w:tcPr>
          <w:p>
            <w:pPr>
              <w:pStyle w:val="27"/>
              <w:rPr>
                <w:b/>
                <w:bCs/>
                <w:sz w:val="15"/>
                <w:szCs w:val="15"/>
              </w:rPr>
            </w:pPr>
            <w:r>
              <w:rPr>
                <w:b/>
                <w:bCs/>
                <w:sz w:val="15"/>
                <w:szCs w:val="15"/>
              </w:rPr>
              <w:t>绿化及生态(万元)</w:t>
            </w:r>
          </w:p>
        </w:tc>
        <w:tc>
          <w:tcPr>
            <w:tcW w:w="1054" w:type="dxa"/>
            <w:vAlign w:val="center"/>
          </w:tcPr>
          <w:p>
            <w:pPr>
              <w:pStyle w:val="27"/>
              <w:rPr>
                <w:b/>
                <w:bCs/>
                <w:sz w:val="15"/>
                <w:szCs w:val="15"/>
              </w:rPr>
            </w:pPr>
            <w:r>
              <w:rPr>
                <w:rFonts w:hint="eastAsia"/>
                <w:b/>
                <w:bCs/>
                <w:sz w:val="15"/>
                <w:szCs w:val="15"/>
              </w:rPr>
              <w:t>/</w:t>
            </w:r>
          </w:p>
        </w:tc>
        <w:tc>
          <w:tcPr>
            <w:tcW w:w="664" w:type="dxa"/>
            <w:gridSpan w:val="2"/>
            <w:vAlign w:val="center"/>
          </w:tcPr>
          <w:p>
            <w:pPr>
              <w:pStyle w:val="27"/>
              <w:rPr>
                <w:b/>
                <w:bCs/>
                <w:sz w:val="15"/>
                <w:szCs w:val="15"/>
              </w:rPr>
            </w:pPr>
            <w:r>
              <w:rPr>
                <w:b/>
                <w:bCs/>
                <w:sz w:val="15"/>
                <w:szCs w:val="15"/>
              </w:rPr>
              <w:t>其它</w:t>
            </w:r>
          </w:p>
        </w:tc>
        <w:tc>
          <w:tcPr>
            <w:tcW w:w="541" w:type="dxa"/>
            <w:vAlign w:val="center"/>
          </w:tcPr>
          <w:p>
            <w:pPr>
              <w:pStyle w:val="27"/>
              <w:rPr>
                <w:rFonts w:hint="default" w:eastAsia="宋体"/>
                <w:b/>
                <w:bCs/>
                <w:sz w:val="15"/>
                <w:szCs w:val="15"/>
                <w:lang w:val="en-US" w:eastAsia="zh-CN"/>
              </w:rPr>
            </w:pPr>
            <w:r>
              <w:rPr>
                <w:rFonts w:hint="eastAsia"/>
                <w:b/>
                <w:bCs/>
                <w:sz w:val="15"/>
                <w:szCs w:val="15"/>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345" w:type="dxa"/>
            <w:vMerge w:val="continue"/>
            <w:vAlign w:val="center"/>
          </w:tcPr>
          <w:p>
            <w:pPr>
              <w:pStyle w:val="27"/>
              <w:rPr>
                <w:b/>
                <w:bCs/>
                <w:sz w:val="15"/>
                <w:szCs w:val="15"/>
              </w:rPr>
            </w:pPr>
          </w:p>
        </w:tc>
        <w:tc>
          <w:tcPr>
            <w:tcW w:w="1725" w:type="dxa"/>
            <w:gridSpan w:val="3"/>
            <w:vAlign w:val="center"/>
          </w:tcPr>
          <w:p>
            <w:pPr>
              <w:pStyle w:val="27"/>
              <w:rPr>
                <w:b/>
                <w:bCs/>
                <w:sz w:val="15"/>
                <w:szCs w:val="15"/>
              </w:rPr>
            </w:pPr>
            <w:r>
              <w:rPr>
                <w:b/>
                <w:bCs/>
                <w:sz w:val="15"/>
                <w:szCs w:val="15"/>
              </w:rPr>
              <w:t>新增废水处理设施能力</w:t>
            </w:r>
          </w:p>
        </w:tc>
        <w:tc>
          <w:tcPr>
            <w:tcW w:w="4763" w:type="dxa"/>
            <w:gridSpan w:val="7"/>
            <w:vAlign w:val="center"/>
          </w:tcPr>
          <w:p>
            <w:pPr>
              <w:pStyle w:val="27"/>
              <w:rPr>
                <w:b/>
                <w:bCs/>
                <w:sz w:val="15"/>
                <w:szCs w:val="15"/>
              </w:rPr>
            </w:pPr>
            <w:r>
              <w:rPr>
                <w:b/>
                <w:bCs/>
                <w:sz w:val="15"/>
                <w:szCs w:val="15"/>
              </w:rPr>
              <w:t>/</w:t>
            </w:r>
          </w:p>
        </w:tc>
        <w:tc>
          <w:tcPr>
            <w:tcW w:w="1936" w:type="dxa"/>
            <w:gridSpan w:val="2"/>
            <w:vAlign w:val="center"/>
          </w:tcPr>
          <w:p>
            <w:pPr>
              <w:pStyle w:val="27"/>
              <w:rPr>
                <w:b/>
                <w:bCs/>
                <w:sz w:val="15"/>
                <w:szCs w:val="15"/>
              </w:rPr>
            </w:pPr>
            <w:r>
              <w:rPr>
                <w:b/>
                <w:bCs/>
                <w:sz w:val="15"/>
                <w:szCs w:val="15"/>
              </w:rPr>
              <w:t>新增废气处理设施能力</w:t>
            </w:r>
          </w:p>
        </w:tc>
        <w:tc>
          <w:tcPr>
            <w:tcW w:w="1858" w:type="dxa"/>
            <w:gridSpan w:val="2"/>
            <w:vAlign w:val="center"/>
          </w:tcPr>
          <w:p>
            <w:pPr>
              <w:pStyle w:val="27"/>
              <w:rPr>
                <w:b/>
                <w:bCs/>
                <w:sz w:val="15"/>
                <w:szCs w:val="15"/>
              </w:rPr>
            </w:pPr>
            <w:r>
              <w:rPr>
                <w:b/>
                <w:bCs/>
                <w:sz w:val="15"/>
                <w:szCs w:val="15"/>
              </w:rPr>
              <w:t>/</w:t>
            </w:r>
          </w:p>
        </w:tc>
        <w:tc>
          <w:tcPr>
            <w:tcW w:w="1817" w:type="dxa"/>
            <w:gridSpan w:val="3"/>
            <w:vAlign w:val="center"/>
          </w:tcPr>
          <w:p>
            <w:pPr>
              <w:pStyle w:val="27"/>
              <w:rPr>
                <w:b/>
                <w:bCs/>
                <w:sz w:val="15"/>
                <w:szCs w:val="15"/>
              </w:rPr>
            </w:pPr>
            <w:r>
              <w:rPr>
                <w:b/>
                <w:bCs/>
                <w:sz w:val="15"/>
                <w:szCs w:val="15"/>
              </w:rPr>
              <w:t>年平均工作时</w:t>
            </w:r>
          </w:p>
        </w:tc>
        <w:tc>
          <w:tcPr>
            <w:tcW w:w="2259" w:type="dxa"/>
            <w:gridSpan w:val="4"/>
            <w:vAlign w:val="center"/>
          </w:tcPr>
          <w:p>
            <w:pPr>
              <w:pStyle w:val="27"/>
              <w:rPr>
                <w:b/>
                <w:bCs/>
                <w:sz w:val="15"/>
                <w:szCs w:val="15"/>
              </w:rPr>
            </w:pPr>
            <w:r>
              <w:rPr>
                <w:b/>
                <w:bCs/>
                <w:sz w:val="15"/>
                <w:szCs w:val="15"/>
              </w:rPr>
              <w:t>2400</w:t>
            </w:r>
            <w:r>
              <w:rPr>
                <w:rFonts w:hint="eastAsia"/>
                <w:b/>
                <w:bCs/>
                <w:sz w:val="15"/>
                <w:szCs w:val="15"/>
              </w:rPr>
              <w:t xml:space="preserve">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exact"/>
          <w:jc w:val="center"/>
        </w:trPr>
        <w:tc>
          <w:tcPr>
            <w:tcW w:w="2070" w:type="dxa"/>
            <w:gridSpan w:val="4"/>
            <w:vAlign w:val="center"/>
          </w:tcPr>
          <w:p>
            <w:pPr>
              <w:pStyle w:val="27"/>
              <w:rPr>
                <w:b/>
                <w:bCs/>
                <w:sz w:val="15"/>
                <w:szCs w:val="15"/>
              </w:rPr>
            </w:pPr>
            <w:r>
              <w:rPr>
                <w:b/>
                <w:bCs/>
                <w:sz w:val="15"/>
                <w:szCs w:val="15"/>
              </w:rPr>
              <w:t>运营单位</w:t>
            </w:r>
          </w:p>
        </w:tc>
        <w:tc>
          <w:tcPr>
            <w:tcW w:w="2625" w:type="dxa"/>
            <w:gridSpan w:val="4"/>
            <w:vAlign w:val="center"/>
          </w:tcPr>
          <w:p>
            <w:pPr>
              <w:pStyle w:val="27"/>
              <w:rPr>
                <w:b/>
                <w:bCs/>
                <w:sz w:val="15"/>
                <w:szCs w:val="15"/>
              </w:rPr>
            </w:pPr>
            <w:r>
              <w:rPr>
                <w:rFonts w:hint="eastAsia"/>
                <w:b/>
                <w:bCs/>
                <w:sz w:val="15"/>
                <w:szCs w:val="15"/>
              </w:rPr>
              <w:t xml:space="preserve">安徽灵通清洁能源股份有限公司   </w:t>
            </w:r>
          </w:p>
        </w:tc>
        <w:tc>
          <w:tcPr>
            <w:tcW w:w="4074" w:type="dxa"/>
            <w:gridSpan w:val="5"/>
            <w:vAlign w:val="center"/>
          </w:tcPr>
          <w:p>
            <w:pPr>
              <w:pStyle w:val="27"/>
              <w:rPr>
                <w:b/>
                <w:bCs/>
                <w:sz w:val="15"/>
                <w:szCs w:val="15"/>
              </w:rPr>
            </w:pPr>
            <w:r>
              <w:rPr>
                <w:b/>
                <w:bCs/>
                <w:sz w:val="15"/>
                <w:szCs w:val="15"/>
              </w:rPr>
              <w:t>运营单位社会统一信用代码(或组织机构代码)</w:t>
            </w:r>
          </w:p>
        </w:tc>
        <w:tc>
          <w:tcPr>
            <w:tcW w:w="1858" w:type="dxa"/>
            <w:gridSpan w:val="2"/>
            <w:vAlign w:val="center"/>
          </w:tcPr>
          <w:p>
            <w:pPr>
              <w:pStyle w:val="27"/>
              <w:rPr>
                <w:b/>
                <w:bCs/>
                <w:sz w:val="15"/>
                <w:szCs w:val="15"/>
              </w:rPr>
            </w:pPr>
            <w:r>
              <w:rPr>
                <w:rFonts w:hint="eastAsia"/>
                <w:b/>
                <w:bCs/>
                <w:sz w:val="15"/>
                <w:szCs w:val="15"/>
              </w:rPr>
              <w:t xml:space="preserve"> </w:t>
            </w:r>
          </w:p>
        </w:tc>
        <w:tc>
          <w:tcPr>
            <w:tcW w:w="1817" w:type="dxa"/>
            <w:gridSpan w:val="3"/>
            <w:vAlign w:val="center"/>
          </w:tcPr>
          <w:p>
            <w:pPr>
              <w:pStyle w:val="27"/>
              <w:rPr>
                <w:b/>
                <w:bCs/>
                <w:sz w:val="15"/>
                <w:szCs w:val="15"/>
              </w:rPr>
            </w:pPr>
            <w:r>
              <w:rPr>
                <w:b/>
                <w:bCs/>
                <w:sz w:val="15"/>
                <w:szCs w:val="15"/>
              </w:rPr>
              <w:t>验收时间</w:t>
            </w:r>
          </w:p>
        </w:tc>
        <w:tc>
          <w:tcPr>
            <w:tcW w:w="2259" w:type="dxa"/>
            <w:gridSpan w:val="4"/>
            <w:vAlign w:val="center"/>
          </w:tcPr>
          <w:p>
            <w:pPr>
              <w:pStyle w:val="27"/>
              <w:rPr>
                <w:b/>
                <w:bCs/>
                <w:sz w:val="15"/>
                <w:szCs w:val="15"/>
              </w:rPr>
            </w:pPr>
            <w:r>
              <w:rPr>
                <w:b/>
                <w:bCs/>
                <w:sz w:val="15"/>
                <w:szCs w:val="15"/>
              </w:rPr>
              <w:t>20</w:t>
            </w:r>
            <w:r>
              <w:rPr>
                <w:rFonts w:hint="eastAsia"/>
                <w:b/>
                <w:bCs/>
                <w:sz w:val="15"/>
                <w:szCs w:val="15"/>
              </w:rPr>
              <w:t>19</w:t>
            </w:r>
            <w:r>
              <w:rPr>
                <w:b/>
                <w:bCs/>
                <w:sz w:val="15"/>
                <w:szCs w:val="15"/>
              </w:rPr>
              <w:t>年</w:t>
            </w:r>
            <w:r>
              <w:rPr>
                <w:rFonts w:hint="eastAsia"/>
                <w:b/>
                <w:bCs/>
                <w:sz w:val="15"/>
                <w:szCs w:val="15"/>
              </w:rPr>
              <w:t>4月18日</w:t>
            </w:r>
            <w:r>
              <w:rPr>
                <w:b/>
                <w:bCs/>
                <w:sz w:val="15"/>
                <w:szCs w:val="15"/>
              </w:rPr>
              <w:t>~</w:t>
            </w:r>
            <w:r>
              <w:rPr>
                <w:rFonts w:hint="eastAsia"/>
                <w:b/>
                <w:bCs/>
                <w:sz w:val="15"/>
                <w:szCs w:val="15"/>
              </w:rPr>
              <w:t>4月19日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exact"/>
          <w:jc w:val="center"/>
        </w:trPr>
        <w:tc>
          <w:tcPr>
            <w:tcW w:w="530" w:type="dxa"/>
            <w:gridSpan w:val="2"/>
            <w:vMerge w:val="restart"/>
            <w:vAlign w:val="center"/>
          </w:tcPr>
          <w:p>
            <w:pPr>
              <w:pStyle w:val="27"/>
              <w:rPr>
                <w:b/>
                <w:bCs/>
                <w:sz w:val="15"/>
                <w:szCs w:val="15"/>
              </w:rPr>
            </w:pPr>
            <w:r>
              <w:rPr>
                <w:b/>
                <w:bCs/>
                <w:sz w:val="15"/>
                <w:szCs w:val="15"/>
              </w:rPr>
              <w:t>污染物排放达标与总量控制(工业建设项目详填)</w:t>
            </w:r>
          </w:p>
        </w:tc>
        <w:tc>
          <w:tcPr>
            <w:tcW w:w="1540" w:type="dxa"/>
            <w:gridSpan w:val="2"/>
            <w:vAlign w:val="center"/>
          </w:tcPr>
          <w:p>
            <w:pPr>
              <w:pStyle w:val="27"/>
              <w:rPr>
                <w:b/>
                <w:bCs/>
                <w:sz w:val="15"/>
                <w:szCs w:val="15"/>
              </w:rPr>
            </w:pPr>
            <w:r>
              <w:rPr>
                <w:b/>
                <w:bCs/>
                <w:sz w:val="15"/>
                <w:szCs w:val="15"/>
              </w:rPr>
              <w:t>污染物</w:t>
            </w:r>
          </w:p>
        </w:tc>
        <w:tc>
          <w:tcPr>
            <w:tcW w:w="531" w:type="dxa"/>
            <w:vAlign w:val="center"/>
          </w:tcPr>
          <w:p>
            <w:pPr>
              <w:pStyle w:val="27"/>
              <w:rPr>
                <w:b/>
                <w:bCs/>
                <w:sz w:val="15"/>
                <w:szCs w:val="15"/>
              </w:rPr>
            </w:pPr>
            <w:r>
              <w:rPr>
                <w:b/>
                <w:bCs/>
                <w:sz w:val="15"/>
                <w:szCs w:val="15"/>
              </w:rPr>
              <w:t>原有排放量 (1)</w:t>
            </w:r>
          </w:p>
        </w:tc>
        <w:tc>
          <w:tcPr>
            <w:tcW w:w="988" w:type="dxa"/>
            <w:vAlign w:val="center"/>
          </w:tcPr>
          <w:p>
            <w:pPr>
              <w:pStyle w:val="27"/>
              <w:rPr>
                <w:b/>
                <w:bCs/>
                <w:sz w:val="15"/>
                <w:szCs w:val="15"/>
              </w:rPr>
            </w:pPr>
            <w:r>
              <w:rPr>
                <w:b/>
                <w:bCs/>
                <w:sz w:val="15"/>
                <w:szCs w:val="15"/>
              </w:rPr>
              <w:t>本期工程</w:t>
            </w:r>
          </w:p>
          <w:p>
            <w:pPr>
              <w:pStyle w:val="27"/>
              <w:rPr>
                <w:b/>
                <w:bCs/>
                <w:sz w:val="15"/>
                <w:szCs w:val="15"/>
              </w:rPr>
            </w:pPr>
            <w:r>
              <w:rPr>
                <w:b/>
                <w:bCs/>
                <w:sz w:val="15"/>
                <w:szCs w:val="15"/>
              </w:rPr>
              <w:t>实际排</w:t>
            </w:r>
          </w:p>
          <w:p>
            <w:pPr>
              <w:pStyle w:val="27"/>
              <w:rPr>
                <w:b/>
                <w:bCs/>
                <w:sz w:val="15"/>
                <w:szCs w:val="15"/>
              </w:rPr>
            </w:pPr>
            <w:r>
              <w:rPr>
                <w:b/>
                <w:bCs/>
                <w:sz w:val="15"/>
                <w:szCs w:val="15"/>
              </w:rPr>
              <w:t>放浓度 (2)</w:t>
            </w:r>
          </w:p>
        </w:tc>
        <w:tc>
          <w:tcPr>
            <w:tcW w:w="1106" w:type="dxa"/>
            <w:gridSpan w:val="2"/>
            <w:vAlign w:val="center"/>
          </w:tcPr>
          <w:p>
            <w:pPr>
              <w:pStyle w:val="27"/>
              <w:rPr>
                <w:b/>
                <w:bCs/>
                <w:sz w:val="15"/>
                <w:szCs w:val="15"/>
              </w:rPr>
            </w:pPr>
            <w:r>
              <w:rPr>
                <w:b/>
                <w:bCs/>
                <w:sz w:val="15"/>
                <w:szCs w:val="15"/>
              </w:rPr>
              <w:t>本期工程</w:t>
            </w:r>
          </w:p>
          <w:p>
            <w:pPr>
              <w:pStyle w:val="27"/>
              <w:rPr>
                <w:b/>
                <w:bCs/>
                <w:sz w:val="15"/>
                <w:szCs w:val="15"/>
              </w:rPr>
            </w:pPr>
            <w:r>
              <w:rPr>
                <w:b/>
                <w:bCs/>
                <w:sz w:val="15"/>
                <w:szCs w:val="15"/>
              </w:rPr>
              <w:t>允许排</w:t>
            </w:r>
          </w:p>
          <w:p>
            <w:pPr>
              <w:pStyle w:val="27"/>
              <w:rPr>
                <w:b/>
                <w:bCs/>
                <w:sz w:val="15"/>
                <w:szCs w:val="15"/>
              </w:rPr>
            </w:pPr>
            <w:r>
              <w:rPr>
                <w:b/>
                <w:bCs/>
                <w:sz w:val="15"/>
                <w:szCs w:val="15"/>
              </w:rPr>
              <w:t>放浓度 (3)</w:t>
            </w:r>
          </w:p>
        </w:tc>
        <w:tc>
          <w:tcPr>
            <w:tcW w:w="1206" w:type="dxa"/>
            <w:vAlign w:val="center"/>
          </w:tcPr>
          <w:p>
            <w:pPr>
              <w:pStyle w:val="27"/>
              <w:rPr>
                <w:b/>
                <w:bCs/>
                <w:sz w:val="15"/>
                <w:szCs w:val="15"/>
              </w:rPr>
            </w:pPr>
            <w:r>
              <w:rPr>
                <w:b/>
                <w:bCs/>
                <w:sz w:val="15"/>
                <w:szCs w:val="15"/>
              </w:rPr>
              <w:t>本期工程产生量 (4)</w:t>
            </w:r>
          </w:p>
        </w:tc>
        <w:tc>
          <w:tcPr>
            <w:tcW w:w="932" w:type="dxa"/>
            <w:gridSpan w:val="2"/>
            <w:vAlign w:val="center"/>
          </w:tcPr>
          <w:p>
            <w:pPr>
              <w:pStyle w:val="27"/>
              <w:rPr>
                <w:b/>
                <w:bCs/>
                <w:sz w:val="15"/>
                <w:szCs w:val="15"/>
              </w:rPr>
            </w:pPr>
            <w:r>
              <w:rPr>
                <w:b/>
                <w:bCs/>
                <w:sz w:val="15"/>
                <w:szCs w:val="15"/>
              </w:rPr>
              <w:t>本期工程自身削减量(5)</w:t>
            </w:r>
          </w:p>
        </w:tc>
        <w:tc>
          <w:tcPr>
            <w:tcW w:w="1031" w:type="dxa"/>
            <w:vAlign w:val="center"/>
          </w:tcPr>
          <w:p>
            <w:pPr>
              <w:pStyle w:val="27"/>
              <w:rPr>
                <w:b/>
                <w:bCs/>
                <w:sz w:val="15"/>
                <w:szCs w:val="15"/>
              </w:rPr>
            </w:pPr>
            <w:r>
              <w:rPr>
                <w:b/>
                <w:bCs/>
                <w:sz w:val="15"/>
                <w:szCs w:val="15"/>
              </w:rPr>
              <w:t>本期工程实际排放量 (6)</w:t>
            </w:r>
          </w:p>
        </w:tc>
        <w:tc>
          <w:tcPr>
            <w:tcW w:w="905" w:type="dxa"/>
            <w:vAlign w:val="center"/>
          </w:tcPr>
          <w:p>
            <w:pPr>
              <w:pStyle w:val="27"/>
              <w:rPr>
                <w:b/>
                <w:bCs/>
                <w:sz w:val="15"/>
                <w:szCs w:val="15"/>
              </w:rPr>
            </w:pPr>
            <w:r>
              <w:rPr>
                <w:b/>
                <w:bCs/>
                <w:sz w:val="15"/>
                <w:szCs w:val="15"/>
              </w:rPr>
              <w:t>本期工程核定排放总量 (7)</w:t>
            </w:r>
          </w:p>
        </w:tc>
        <w:tc>
          <w:tcPr>
            <w:tcW w:w="876" w:type="dxa"/>
            <w:vAlign w:val="center"/>
          </w:tcPr>
          <w:p>
            <w:pPr>
              <w:pStyle w:val="27"/>
              <w:rPr>
                <w:b/>
                <w:bCs/>
                <w:sz w:val="15"/>
                <w:szCs w:val="15"/>
              </w:rPr>
            </w:pPr>
            <w:r>
              <w:rPr>
                <w:b/>
                <w:bCs/>
                <w:sz w:val="15"/>
                <w:szCs w:val="15"/>
              </w:rPr>
              <w:t>本期工程“以新带老”削减量 (8)</w:t>
            </w:r>
          </w:p>
        </w:tc>
        <w:tc>
          <w:tcPr>
            <w:tcW w:w="982" w:type="dxa"/>
            <w:vAlign w:val="center"/>
          </w:tcPr>
          <w:p>
            <w:pPr>
              <w:pStyle w:val="27"/>
              <w:rPr>
                <w:b/>
                <w:bCs/>
                <w:sz w:val="15"/>
                <w:szCs w:val="15"/>
              </w:rPr>
            </w:pPr>
            <w:r>
              <w:rPr>
                <w:b/>
                <w:bCs/>
                <w:sz w:val="15"/>
                <w:szCs w:val="15"/>
              </w:rPr>
              <w:t>全厂实际排放总量(9)</w:t>
            </w:r>
          </w:p>
        </w:tc>
        <w:tc>
          <w:tcPr>
            <w:tcW w:w="1817" w:type="dxa"/>
            <w:gridSpan w:val="3"/>
            <w:vAlign w:val="center"/>
          </w:tcPr>
          <w:p>
            <w:pPr>
              <w:pStyle w:val="27"/>
              <w:rPr>
                <w:b/>
                <w:bCs/>
                <w:sz w:val="15"/>
                <w:szCs w:val="15"/>
              </w:rPr>
            </w:pPr>
            <w:r>
              <w:rPr>
                <w:b/>
                <w:bCs/>
                <w:sz w:val="15"/>
                <w:szCs w:val="15"/>
              </w:rPr>
              <w:t>全厂核定排放总量</w:t>
            </w:r>
          </w:p>
          <w:p>
            <w:pPr>
              <w:pStyle w:val="27"/>
              <w:rPr>
                <w:b/>
                <w:bCs/>
                <w:sz w:val="15"/>
                <w:szCs w:val="15"/>
              </w:rPr>
            </w:pPr>
            <w:r>
              <w:rPr>
                <w:b/>
                <w:bCs/>
                <w:sz w:val="15"/>
                <w:szCs w:val="15"/>
              </w:rPr>
              <w:t>(10)</w:t>
            </w:r>
          </w:p>
        </w:tc>
        <w:tc>
          <w:tcPr>
            <w:tcW w:w="1364" w:type="dxa"/>
            <w:gridSpan w:val="2"/>
            <w:vAlign w:val="center"/>
          </w:tcPr>
          <w:p>
            <w:pPr>
              <w:pStyle w:val="27"/>
              <w:rPr>
                <w:b/>
                <w:bCs/>
                <w:sz w:val="15"/>
                <w:szCs w:val="15"/>
              </w:rPr>
            </w:pPr>
            <w:r>
              <w:rPr>
                <w:b/>
                <w:bCs/>
                <w:sz w:val="15"/>
                <w:szCs w:val="15"/>
              </w:rPr>
              <w:t>区域平衡替代削减量(11)</w:t>
            </w:r>
          </w:p>
        </w:tc>
        <w:tc>
          <w:tcPr>
            <w:tcW w:w="895" w:type="dxa"/>
            <w:gridSpan w:val="2"/>
            <w:vAlign w:val="center"/>
          </w:tcPr>
          <w:p>
            <w:pPr>
              <w:pStyle w:val="27"/>
              <w:rPr>
                <w:b/>
                <w:bCs/>
                <w:sz w:val="15"/>
                <w:szCs w:val="15"/>
              </w:rPr>
            </w:pPr>
            <w:r>
              <w:rPr>
                <w:b/>
                <w:bCs/>
                <w:sz w:val="15"/>
                <w:szCs w:val="15"/>
              </w:rPr>
              <w:t>排放增减量</w:t>
            </w:r>
          </w:p>
          <w:p>
            <w:pPr>
              <w:pStyle w:val="27"/>
              <w:rPr>
                <w:b/>
                <w:bCs/>
                <w:sz w:val="15"/>
                <w:szCs w:val="15"/>
              </w:rPr>
            </w:pPr>
            <w:r>
              <w:rPr>
                <w:b/>
                <w:bCs/>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exact"/>
          <w:jc w:val="center"/>
        </w:trPr>
        <w:tc>
          <w:tcPr>
            <w:tcW w:w="530" w:type="dxa"/>
            <w:gridSpan w:val="2"/>
            <w:vMerge w:val="continue"/>
            <w:vAlign w:val="center"/>
          </w:tcPr>
          <w:p>
            <w:pPr>
              <w:pStyle w:val="27"/>
              <w:rPr>
                <w:b/>
                <w:bCs/>
                <w:sz w:val="15"/>
                <w:szCs w:val="15"/>
              </w:rPr>
            </w:pPr>
          </w:p>
        </w:tc>
        <w:tc>
          <w:tcPr>
            <w:tcW w:w="1540" w:type="dxa"/>
            <w:gridSpan w:val="2"/>
            <w:vAlign w:val="center"/>
          </w:tcPr>
          <w:p>
            <w:pPr>
              <w:pStyle w:val="27"/>
              <w:rPr>
                <w:b/>
                <w:bCs/>
                <w:sz w:val="15"/>
                <w:szCs w:val="15"/>
              </w:rPr>
            </w:pPr>
            <w:r>
              <w:rPr>
                <w:rFonts w:hint="eastAsia"/>
                <w:b/>
                <w:bCs/>
                <w:sz w:val="15"/>
                <w:szCs w:val="15"/>
              </w:rPr>
              <w:t>废气</w:t>
            </w:r>
          </w:p>
        </w:tc>
        <w:tc>
          <w:tcPr>
            <w:tcW w:w="531" w:type="dxa"/>
            <w:vAlign w:val="center"/>
          </w:tcPr>
          <w:p>
            <w:pPr>
              <w:pStyle w:val="27"/>
              <w:rPr>
                <w:b/>
                <w:bCs/>
                <w:sz w:val="15"/>
                <w:szCs w:val="15"/>
              </w:rPr>
            </w:pPr>
            <w:r>
              <w:rPr>
                <w:rFonts w:hint="eastAsia"/>
                <w:b/>
                <w:bCs/>
                <w:sz w:val="15"/>
                <w:szCs w:val="15"/>
              </w:rPr>
              <w:t>0</w:t>
            </w:r>
          </w:p>
        </w:tc>
        <w:tc>
          <w:tcPr>
            <w:tcW w:w="988" w:type="dxa"/>
            <w:vAlign w:val="center"/>
          </w:tcPr>
          <w:p>
            <w:pPr>
              <w:pStyle w:val="27"/>
              <w:rPr>
                <w:b/>
                <w:bCs/>
                <w:sz w:val="15"/>
                <w:szCs w:val="15"/>
              </w:rPr>
            </w:pPr>
          </w:p>
        </w:tc>
        <w:tc>
          <w:tcPr>
            <w:tcW w:w="1106" w:type="dxa"/>
            <w:gridSpan w:val="2"/>
            <w:vAlign w:val="center"/>
          </w:tcPr>
          <w:p>
            <w:pPr>
              <w:pStyle w:val="27"/>
              <w:rPr>
                <w:b/>
                <w:bCs/>
                <w:sz w:val="15"/>
                <w:szCs w:val="15"/>
              </w:rPr>
            </w:pP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30" w:type="dxa"/>
            <w:gridSpan w:val="2"/>
            <w:vMerge w:val="continue"/>
            <w:vAlign w:val="center"/>
          </w:tcPr>
          <w:p>
            <w:pPr>
              <w:pStyle w:val="27"/>
              <w:rPr>
                <w:b/>
                <w:bCs/>
                <w:sz w:val="15"/>
                <w:szCs w:val="15"/>
              </w:rPr>
            </w:pPr>
          </w:p>
        </w:tc>
        <w:tc>
          <w:tcPr>
            <w:tcW w:w="1540" w:type="dxa"/>
            <w:gridSpan w:val="2"/>
            <w:vAlign w:val="center"/>
          </w:tcPr>
          <w:p>
            <w:pPr>
              <w:pStyle w:val="27"/>
              <w:rPr>
                <w:b/>
                <w:bCs/>
                <w:sz w:val="15"/>
                <w:szCs w:val="15"/>
              </w:rPr>
            </w:pPr>
            <w:r>
              <w:rPr>
                <w:rFonts w:hint="eastAsia"/>
                <w:b/>
                <w:bCs/>
                <w:sz w:val="15"/>
                <w:szCs w:val="15"/>
              </w:rPr>
              <w:t>非甲烷总烃</w:t>
            </w:r>
          </w:p>
        </w:tc>
        <w:tc>
          <w:tcPr>
            <w:tcW w:w="531" w:type="dxa"/>
            <w:vAlign w:val="center"/>
          </w:tcPr>
          <w:p>
            <w:pPr>
              <w:pStyle w:val="27"/>
              <w:rPr>
                <w:b/>
                <w:bCs/>
                <w:sz w:val="15"/>
                <w:szCs w:val="15"/>
              </w:rPr>
            </w:pPr>
            <w:r>
              <w:rPr>
                <w:rFonts w:hint="eastAsia"/>
                <w:b/>
                <w:bCs/>
                <w:sz w:val="15"/>
                <w:szCs w:val="15"/>
              </w:rPr>
              <w:t>0</w:t>
            </w:r>
          </w:p>
        </w:tc>
        <w:tc>
          <w:tcPr>
            <w:tcW w:w="988" w:type="dxa"/>
            <w:vAlign w:val="center"/>
          </w:tcPr>
          <w:p>
            <w:pPr>
              <w:pStyle w:val="27"/>
              <w:rPr>
                <w:b/>
                <w:bCs/>
                <w:sz w:val="15"/>
                <w:szCs w:val="15"/>
              </w:rPr>
            </w:pPr>
          </w:p>
        </w:tc>
        <w:tc>
          <w:tcPr>
            <w:tcW w:w="1106" w:type="dxa"/>
            <w:gridSpan w:val="2"/>
            <w:vAlign w:val="center"/>
          </w:tcPr>
          <w:p>
            <w:pPr>
              <w:pStyle w:val="27"/>
              <w:rPr>
                <w:b/>
                <w:bCs/>
                <w:sz w:val="15"/>
                <w:szCs w:val="15"/>
              </w:rPr>
            </w:pP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30" w:type="dxa"/>
            <w:gridSpan w:val="2"/>
            <w:vMerge w:val="continue"/>
            <w:vAlign w:val="center"/>
          </w:tcPr>
          <w:p>
            <w:pPr>
              <w:pStyle w:val="27"/>
            </w:pPr>
          </w:p>
        </w:tc>
        <w:tc>
          <w:tcPr>
            <w:tcW w:w="1540" w:type="dxa"/>
            <w:gridSpan w:val="2"/>
            <w:vAlign w:val="center"/>
          </w:tcPr>
          <w:p>
            <w:pPr>
              <w:pStyle w:val="27"/>
              <w:rPr>
                <w:b/>
                <w:bCs/>
                <w:sz w:val="15"/>
                <w:szCs w:val="15"/>
              </w:rPr>
            </w:pPr>
            <w:r>
              <w:rPr>
                <w:rFonts w:hint="eastAsia"/>
                <w:b/>
                <w:bCs/>
                <w:sz w:val="15"/>
                <w:szCs w:val="15"/>
              </w:rPr>
              <w:t>废水</w:t>
            </w:r>
          </w:p>
        </w:tc>
        <w:tc>
          <w:tcPr>
            <w:tcW w:w="531" w:type="dxa"/>
            <w:vAlign w:val="center"/>
          </w:tcPr>
          <w:p>
            <w:pPr>
              <w:pStyle w:val="27"/>
              <w:rPr>
                <w:b/>
                <w:bCs/>
                <w:sz w:val="15"/>
                <w:szCs w:val="15"/>
              </w:rPr>
            </w:pPr>
            <w:r>
              <w:rPr>
                <w:rFonts w:hint="eastAsia"/>
                <w:b/>
                <w:bCs/>
                <w:sz w:val="15"/>
                <w:szCs w:val="15"/>
              </w:rPr>
              <w:t>0</w:t>
            </w:r>
          </w:p>
        </w:tc>
        <w:tc>
          <w:tcPr>
            <w:tcW w:w="988" w:type="dxa"/>
            <w:vAlign w:val="center"/>
          </w:tcPr>
          <w:p>
            <w:pPr>
              <w:pStyle w:val="27"/>
              <w:rPr>
                <w:b/>
                <w:bCs/>
                <w:sz w:val="15"/>
                <w:szCs w:val="15"/>
              </w:rPr>
            </w:pPr>
          </w:p>
        </w:tc>
        <w:tc>
          <w:tcPr>
            <w:tcW w:w="1106" w:type="dxa"/>
            <w:gridSpan w:val="2"/>
            <w:vAlign w:val="center"/>
          </w:tcPr>
          <w:p>
            <w:pPr>
              <w:pStyle w:val="27"/>
              <w:rPr>
                <w:b/>
                <w:bCs/>
                <w:sz w:val="15"/>
                <w:szCs w:val="15"/>
              </w:rPr>
            </w:pP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r>
              <w:rPr>
                <w:rFonts w:hint="eastAsia"/>
                <w:b/>
                <w:bCs/>
                <w:sz w:val="15"/>
                <w:szCs w:val="15"/>
              </w:rPr>
              <w:t>/</w:t>
            </w: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30" w:type="dxa"/>
            <w:gridSpan w:val="2"/>
            <w:vMerge w:val="continue"/>
            <w:vAlign w:val="center"/>
          </w:tcPr>
          <w:p>
            <w:pPr>
              <w:pStyle w:val="27"/>
            </w:pPr>
          </w:p>
        </w:tc>
        <w:tc>
          <w:tcPr>
            <w:tcW w:w="1540" w:type="dxa"/>
            <w:gridSpan w:val="2"/>
            <w:vAlign w:val="center"/>
          </w:tcPr>
          <w:p>
            <w:pPr>
              <w:pStyle w:val="27"/>
              <w:rPr>
                <w:b/>
                <w:bCs/>
                <w:sz w:val="15"/>
                <w:szCs w:val="15"/>
              </w:rPr>
            </w:pPr>
            <w:r>
              <w:rPr>
                <w:rFonts w:hint="eastAsia"/>
                <w:b/>
                <w:bCs/>
                <w:sz w:val="15"/>
                <w:szCs w:val="15"/>
              </w:rPr>
              <w:t>COD</w:t>
            </w:r>
          </w:p>
        </w:tc>
        <w:tc>
          <w:tcPr>
            <w:tcW w:w="531" w:type="dxa"/>
            <w:vAlign w:val="center"/>
          </w:tcPr>
          <w:p>
            <w:pPr>
              <w:pStyle w:val="27"/>
              <w:rPr>
                <w:b/>
                <w:bCs/>
                <w:sz w:val="15"/>
                <w:szCs w:val="15"/>
              </w:rPr>
            </w:pPr>
            <w:r>
              <w:rPr>
                <w:rFonts w:hint="eastAsia"/>
                <w:b/>
                <w:bCs/>
                <w:sz w:val="15"/>
                <w:szCs w:val="15"/>
              </w:rPr>
              <w:t>0</w:t>
            </w:r>
          </w:p>
        </w:tc>
        <w:tc>
          <w:tcPr>
            <w:tcW w:w="988" w:type="dxa"/>
            <w:vAlign w:val="center"/>
          </w:tcPr>
          <w:p>
            <w:pPr>
              <w:pStyle w:val="27"/>
              <w:rPr>
                <w:b/>
                <w:bCs/>
                <w:sz w:val="15"/>
                <w:szCs w:val="15"/>
              </w:rPr>
            </w:pPr>
            <w:r>
              <w:rPr>
                <w:rFonts w:hint="eastAsia"/>
                <w:b/>
                <w:bCs/>
                <w:sz w:val="15"/>
                <w:szCs w:val="15"/>
              </w:rPr>
              <w:t>/</w:t>
            </w:r>
          </w:p>
        </w:tc>
        <w:tc>
          <w:tcPr>
            <w:tcW w:w="1106" w:type="dxa"/>
            <w:gridSpan w:val="2"/>
            <w:vAlign w:val="center"/>
          </w:tcPr>
          <w:p>
            <w:pPr>
              <w:pStyle w:val="27"/>
              <w:rPr>
                <w:b/>
                <w:bCs/>
                <w:sz w:val="15"/>
                <w:szCs w:val="15"/>
              </w:rPr>
            </w:pPr>
            <w:r>
              <w:rPr>
                <w:rFonts w:hint="eastAsia"/>
                <w:b/>
                <w:bCs/>
                <w:sz w:val="15"/>
                <w:szCs w:val="15"/>
              </w:rPr>
              <w:t>/</w:t>
            </w: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r>
              <w:rPr>
                <w:rFonts w:hint="eastAsia"/>
                <w:b/>
                <w:bCs/>
                <w:sz w:val="15"/>
                <w:szCs w:val="15"/>
              </w:rPr>
              <w:t>/</w:t>
            </w: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r>
              <w:rPr>
                <w:rFonts w:hint="eastAsia"/>
                <w:b/>
                <w:bCs/>
                <w:sz w:val="15"/>
                <w:szCs w:val="15"/>
              </w:rPr>
              <w:t>/</w:t>
            </w: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r>
              <w:rPr>
                <w:rFonts w:hint="eastAsia"/>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30" w:type="dxa"/>
            <w:gridSpan w:val="2"/>
            <w:vMerge w:val="continue"/>
            <w:vAlign w:val="center"/>
          </w:tcPr>
          <w:p>
            <w:pPr>
              <w:pStyle w:val="27"/>
            </w:pPr>
          </w:p>
        </w:tc>
        <w:tc>
          <w:tcPr>
            <w:tcW w:w="1540" w:type="dxa"/>
            <w:gridSpan w:val="2"/>
            <w:vAlign w:val="center"/>
          </w:tcPr>
          <w:p>
            <w:pPr>
              <w:pStyle w:val="27"/>
              <w:rPr>
                <w:b/>
                <w:bCs/>
                <w:sz w:val="15"/>
                <w:szCs w:val="15"/>
              </w:rPr>
            </w:pPr>
            <w:r>
              <w:rPr>
                <w:rFonts w:hint="eastAsia"/>
                <w:b/>
                <w:bCs/>
                <w:sz w:val="15"/>
                <w:szCs w:val="15"/>
              </w:rPr>
              <w:t>NH3-N</w:t>
            </w:r>
          </w:p>
        </w:tc>
        <w:tc>
          <w:tcPr>
            <w:tcW w:w="531" w:type="dxa"/>
            <w:vAlign w:val="center"/>
          </w:tcPr>
          <w:p>
            <w:pPr>
              <w:pStyle w:val="27"/>
              <w:rPr>
                <w:b/>
                <w:bCs/>
                <w:sz w:val="15"/>
                <w:szCs w:val="15"/>
              </w:rPr>
            </w:pPr>
            <w:r>
              <w:rPr>
                <w:rFonts w:hint="eastAsia"/>
                <w:b/>
                <w:bCs/>
                <w:sz w:val="15"/>
                <w:szCs w:val="15"/>
              </w:rPr>
              <w:t>0</w:t>
            </w:r>
          </w:p>
        </w:tc>
        <w:tc>
          <w:tcPr>
            <w:tcW w:w="988" w:type="dxa"/>
            <w:vAlign w:val="center"/>
          </w:tcPr>
          <w:p>
            <w:pPr>
              <w:pStyle w:val="27"/>
              <w:rPr>
                <w:b/>
                <w:bCs/>
                <w:sz w:val="15"/>
                <w:szCs w:val="15"/>
              </w:rPr>
            </w:pPr>
            <w:r>
              <w:rPr>
                <w:rFonts w:hint="eastAsia"/>
                <w:b/>
                <w:bCs/>
                <w:sz w:val="15"/>
                <w:szCs w:val="15"/>
              </w:rPr>
              <w:t>/</w:t>
            </w:r>
          </w:p>
        </w:tc>
        <w:tc>
          <w:tcPr>
            <w:tcW w:w="1106" w:type="dxa"/>
            <w:gridSpan w:val="2"/>
            <w:vAlign w:val="center"/>
          </w:tcPr>
          <w:p>
            <w:pPr>
              <w:pStyle w:val="27"/>
              <w:rPr>
                <w:b/>
                <w:bCs/>
                <w:sz w:val="15"/>
                <w:szCs w:val="15"/>
              </w:rPr>
            </w:pPr>
            <w:r>
              <w:rPr>
                <w:rFonts w:hint="eastAsia"/>
                <w:b/>
                <w:bCs/>
                <w:sz w:val="15"/>
                <w:szCs w:val="15"/>
              </w:rPr>
              <w:t>/</w:t>
            </w: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r>
              <w:rPr>
                <w:rFonts w:hint="eastAsia"/>
                <w:b/>
                <w:bCs/>
                <w:sz w:val="15"/>
                <w:szCs w:val="15"/>
              </w:rPr>
              <w:t>/</w:t>
            </w: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r>
              <w:rPr>
                <w:rFonts w:hint="eastAsia"/>
                <w:b/>
                <w:bCs/>
                <w:sz w:val="15"/>
                <w:szCs w:val="15"/>
              </w:rPr>
              <w:t>/</w:t>
            </w: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r>
              <w:rPr>
                <w:rFonts w:hint="eastAsia"/>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530" w:type="dxa"/>
            <w:gridSpan w:val="2"/>
            <w:vMerge w:val="continue"/>
            <w:vAlign w:val="center"/>
          </w:tcPr>
          <w:p>
            <w:pPr>
              <w:pStyle w:val="27"/>
              <w:rPr>
                <w:b/>
                <w:bCs/>
                <w:sz w:val="15"/>
                <w:szCs w:val="15"/>
              </w:rPr>
            </w:pPr>
          </w:p>
        </w:tc>
        <w:tc>
          <w:tcPr>
            <w:tcW w:w="903" w:type="dxa"/>
            <w:vMerge w:val="restart"/>
            <w:vAlign w:val="center"/>
          </w:tcPr>
          <w:p>
            <w:pPr>
              <w:pStyle w:val="27"/>
              <w:rPr>
                <w:b/>
                <w:bCs/>
                <w:sz w:val="15"/>
                <w:szCs w:val="15"/>
              </w:rPr>
            </w:pPr>
            <w:r>
              <w:rPr>
                <w:b/>
                <w:bCs/>
                <w:sz w:val="15"/>
                <w:szCs w:val="15"/>
              </w:rPr>
              <w:t>与项目有关的其他特征污染物</w:t>
            </w:r>
          </w:p>
        </w:tc>
        <w:tc>
          <w:tcPr>
            <w:tcW w:w="637" w:type="dxa"/>
            <w:vAlign w:val="center"/>
          </w:tcPr>
          <w:p>
            <w:pPr>
              <w:pStyle w:val="27"/>
              <w:rPr>
                <w:b/>
                <w:bCs/>
                <w:sz w:val="15"/>
                <w:szCs w:val="15"/>
              </w:rPr>
            </w:pPr>
          </w:p>
        </w:tc>
        <w:tc>
          <w:tcPr>
            <w:tcW w:w="531" w:type="dxa"/>
            <w:vAlign w:val="center"/>
          </w:tcPr>
          <w:p>
            <w:pPr>
              <w:pStyle w:val="27"/>
              <w:rPr>
                <w:b/>
                <w:bCs/>
                <w:sz w:val="15"/>
                <w:szCs w:val="15"/>
              </w:rPr>
            </w:pPr>
          </w:p>
        </w:tc>
        <w:tc>
          <w:tcPr>
            <w:tcW w:w="988" w:type="dxa"/>
            <w:vAlign w:val="center"/>
          </w:tcPr>
          <w:p>
            <w:pPr>
              <w:pStyle w:val="27"/>
              <w:rPr>
                <w:b/>
                <w:bCs/>
                <w:sz w:val="15"/>
                <w:szCs w:val="15"/>
              </w:rPr>
            </w:pPr>
          </w:p>
        </w:tc>
        <w:tc>
          <w:tcPr>
            <w:tcW w:w="1106" w:type="dxa"/>
            <w:gridSpan w:val="2"/>
            <w:vAlign w:val="center"/>
          </w:tcPr>
          <w:p>
            <w:pPr>
              <w:pStyle w:val="27"/>
              <w:rPr>
                <w:b/>
                <w:bCs/>
                <w:sz w:val="15"/>
                <w:szCs w:val="15"/>
              </w:rPr>
            </w:pP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530" w:type="dxa"/>
            <w:gridSpan w:val="2"/>
            <w:vMerge w:val="continue"/>
            <w:vAlign w:val="center"/>
          </w:tcPr>
          <w:p>
            <w:pPr>
              <w:pStyle w:val="27"/>
              <w:rPr>
                <w:b/>
                <w:bCs/>
                <w:sz w:val="15"/>
                <w:szCs w:val="15"/>
              </w:rPr>
            </w:pPr>
          </w:p>
        </w:tc>
        <w:tc>
          <w:tcPr>
            <w:tcW w:w="903" w:type="dxa"/>
            <w:vMerge w:val="continue"/>
            <w:vAlign w:val="center"/>
          </w:tcPr>
          <w:p>
            <w:pPr>
              <w:pStyle w:val="27"/>
              <w:rPr>
                <w:b/>
                <w:bCs/>
                <w:sz w:val="15"/>
                <w:szCs w:val="15"/>
              </w:rPr>
            </w:pPr>
          </w:p>
        </w:tc>
        <w:tc>
          <w:tcPr>
            <w:tcW w:w="637" w:type="dxa"/>
            <w:vAlign w:val="center"/>
          </w:tcPr>
          <w:p>
            <w:pPr>
              <w:pStyle w:val="27"/>
              <w:rPr>
                <w:b/>
                <w:bCs/>
                <w:sz w:val="15"/>
                <w:szCs w:val="15"/>
              </w:rPr>
            </w:pPr>
          </w:p>
        </w:tc>
        <w:tc>
          <w:tcPr>
            <w:tcW w:w="531" w:type="dxa"/>
            <w:vAlign w:val="center"/>
          </w:tcPr>
          <w:p>
            <w:pPr>
              <w:pStyle w:val="27"/>
              <w:rPr>
                <w:b/>
                <w:bCs/>
                <w:sz w:val="15"/>
                <w:szCs w:val="15"/>
              </w:rPr>
            </w:pPr>
          </w:p>
        </w:tc>
        <w:tc>
          <w:tcPr>
            <w:tcW w:w="988" w:type="dxa"/>
            <w:vAlign w:val="center"/>
          </w:tcPr>
          <w:p>
            <w:pPr>
              <w:pStyle w:val="27"/>
              <w:rPr>
                <w:b/>
                <w:bCs/>
                <w:sz w:val="15"/>
                <w:szCs w:val="15"/>
              </w:rPr>
            </w:pPr>
          </w:p>
        </w:tc>
        <w:tc>
          <w:tcPr>
            <w:tcW w:w="1106" w:type="dxa"/>
            <w:gridSpan w:val="2"/>
            <w:vAlign w:val="center"/>
          </w:tcPr>
          <w:p>
            <w:pPr>
              <w:pStyle w:val="27"/>
              <w:rPr>
                <w:b/>
                <w:bCs/>
                <w:sz w:val="15"/>
                <w:szCs w:val="15"/>
              </w:rPr>
            </w:pP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exact"/>
          <w:jc w:val="center"/>
        </w:trPr>
        <w:tc>
          <w:tcPr>
            <w:tcW w:w="530" w:type="dxa"/>
            <w:gridSpan w:val="2"/>
            <w:vMerge w:val="continue"/>
            <w:vAlign w:val="center"/>
          </w:tcPr>
          <w:p>
            <w:pPr>
              <w:pStyle w:val="27"/>
              <w:rPr>
                <w:b/>
                <w:bCs/>
                <w:sz w:val="15"/>
                <w:szCs w:val="15"/>
              </w:rPr>
            </w:pPr>
          </w:p>
        </w:tc>
        <w:tc>
          <w:tcPr>
            <w:tcW w:w="903" w:type="dxa"/>
            <w:vMerge w:val="continue"/>
            <w:vAlign w:val="center"/>
          </w:tcPr>
          <w:p>
            <w:pPr>
              <w:pStyle w:val="27"/>
              <w:rPr>
                <w:b/>
                <w:bCs/>
                <w:sz w:val="15"/>
                <w:szCs w:val="15"/>
              </w:rPr>
            </w:pPr>
          </w:p>
        </w:tc>
        <w:tc>
          <w:tcPr>
            <w:tcW w:w="637" w:type="dxa"/>
            <w:vAlign w:val="center"/>
          </w:tcPr>
          <w:p>
            <w:pPr>
              <w:pStyle w:val="27"/>
              <w:rPr>
                <w:b/>
                <w:bCs/>
                <w:sz w:val="15"/>
                <w:szCs w:val="15"/>
              </w:rPr>
            </w:pPr>
            <w:r>
              <w:rPr>
                <w:rFonts w:hint="eastAsia"/>
                <w:b/>
                <w:bCs/>
                <w:sz w:val="15"/>
                <w:szCs w:val="15"/>
              </w:rPr>
              <w:t>固废</w:t>
            </w:r>
          </w:p>
        </w:tc>
        <w:tc>
          <w:tcPr>
            <w:tcW w:w="531" w:type="dxa"/>
            <w:vAlign w:val="center"/>
          </w:tcPr>
          <w:p>
            <w:pPr>
              <w:pStyle w:val="27"/>
              <w:rPr>
                <w:b/>
                <w:bCs/>
                <w:sz w:val="15"/>
                <w:szCs w:val="15"/>
              </w:rPr>
            </w:pPr>
            <w:r>
              <w:rPr>
                <w:rFonts w:hint="eastAsia"/>
                <w:b/>
                <w:bCs/>
                <w:sz w:val="15"/>
                <w:szCs w:val="15"/>
              </w:rPr>
              <w:t>0</w:t>
            </w:r>
          </w:p>
        </w:tc>
        <w:tc>
          <w:tcPr>
            <w:tcW w:w="988" w:type="dxa"/>
            <w:vAlign w:val="center"/>
          </w:tcPr>
          <w:p>
            <w:pPr>
              <w:pStyle w:val="27"/>
              <w:rPr>
                <w:b/>
                <w:bCs/>
                <w:sz w:val="15"/>
                <w:szCs w:val="15"/>
              </w:rPr>
            </w:pPr>
          </w:p>
        </w:tc>
        <w:tc>
          <w:tcPr>
            <w:tcW w:w="1106" w:type="dxa"/>
            <w:gridSpan w:val="2"/>
            <w:vAlign w:val="center"/>
          </w:tcPr>
          <w:p>
            <w:pPr>
              <w:pStyle w:val="27"/>
              <w:rPr>
                <w:b/>
                <w:bCs/>
                <w:sz w:val="15"/>
                <w:szCs w:val="15"/>
              </w:rPr>
            </w:pPr>
          </w:p>
        </w:tc>
        <w:tc>
          <w:tcPr>
            <w:tcW w:w="1206" w:type="dxa"/>
            <w:vAlign w:val="center"/>
          </w:tcPr>
          <w:p>
            <w:pPr>
              <w:pStyle w:val="27"/>
              <w:rPr>
                <w:b/>
                <w:bCs/>
                <w:sz w:val="15"/>
                <w:szCs w:val="15"/>
              </w:rPr>
            </w:pPr>
          </w:p>
        </w:tc>
        <w:tc>
          <w:tcPr>
            <w:tcW w:w="932" w:type="dxa"/>
            <w:gridSpan w:val="2"/>
            <w:vAlign w:val="center"/>
          </w:tcPr>
          <w:p>
            <w:pPr>
              <w:pStyle w:val="27"/>
              <w:rPr>
                <w:b/>
                <w:bCs/>
                <w:sz w:val="15"/>
                <w:szCs w:val="15"/>
              </w:rPr>
            </w:pPr>
          </w:p>
        </w:tc>
        <w:tc>
          <w:tcPr>
            <w:tcW w:w="1031" w:type="dxa"/>
            <w:vAlign w:val="center"/>
          </w:tcPr>
          <w:p>
            <w:pPr>
              <w:pStyle w:val="27"/>
              <w:rPr>
                <w:b/>
                <w:bCs/>
                <w:sz w:val="15"/>
                <w:szCs w:val="15"/>
              </w:rPr>
            </w:pPr>
          </w:p>
        </w:tc>
        <w:tc>
          <w:tcPr>
            <w:tcW w:w="905" w:type="dxa"/>
            <w:vAlign w:val="center"/>
          </w:tcPr>
          <w:p>
            <w:pPr>
              <w:pStyle w:val="27"/>
              <w:rPr>
                <w:b/>
                <w:bCs/>
                <w:sz w:val="15"/>
                <w:szCs w:val="15"/>
              </w:rPr>
            </w:pPr>
          </w:p>
        </w:tc>
        <w:tc>
          <w:tcPr>
            <w:tcW w:w="876" w:type="dxa"/>
            <w:vAlign w:val="center"/>
          </w:tcPr>
          <w:p>
            <w:pPr>
              <w:pStyle w:val="27"/>
              <w:rPr>
                <w:b/>
                <w:bCs/>
                <w:sz w:val="15"/>
                <w:szCs w:val="15"/>
              </w:rPr>
            </w:pPr>
          </w:p>
        </w:tc>
        <w:tc>
          <w:tcPr>
            <w:tcW w:w="982" w:type="dxa"/>
            <w:vAlign w:val="center"/>
          </w:tcPr>
          <w:p>
            <w:pPr>
              <w:pStyle w:val="27"/>
              <w:rPr>
                <w:b/>
                <w:bCs/>
                <w:sz w:val="15"/>
                <w:szCs w:val="15"/>
              </w:rPr>
            </w:pPr>
          </w:p>
        </w:tc>
        <w:tc>
          <w:tcPr>
            <w:tcW w:w="1817" w:type="dxa"/>
            <w:gridSpan w:val="3"/>
            <w:vAlign w:val="center"/>
          </w:tcPr>
          <w:p>
            <w:pPr>
              <w:pStyle w:val="27"/>
              <w:rPr>
                <w:b/>
                <w:bCs/>
                <w:sz w:val="15"/>
                <w:szCs w:val="15"/>
              </w:rPr>
            </w:pPr>
          </w:p>
        </w:tc>
        <w:tc>
          <w:tcPr>
            <w:tcW w:w="1364" w:type="dxa"/>
            <w:gridSpan w:val="2"/>
            <w:vAlign w:val="center"/>
          </w:tcPr>
          <w:p>
            <w:pPr>
              <w:pStyle w:val="27"/>
              <w:rPr>
                <w:b/>
                <w:bCs/>
                <w:sz w:val="15"/>
                <w:szCs w:val="15"/>
              </w:rPr>
            </w:pPr>
          </w:p>
        </w:tc>
        <w:tc>
          <w:tcPr>
            <w:tcW w:w="895" w:type="dxa"/>
            <w:gridSpan w:val="2"/>
            <w:vAlign w:val="center"/>
          </w:tcPr>
          <w:p>
            <w:pPr>
              <w:pStyle w:val="27"/>
              <w:rPr>
                <w:b/>
                <w:bCs/>
                <w:sz w:val="15"/>
                <w:szCs w:val="15"/>
              </w:rPr>
            </w:pPr>
            <w:r>
              <w:rPr>
                <w:rFonts w:hint="eastAsia"/>
                <w:b/>
                <w:bCs/>
                <w:sz w:val="15"/>
                <w:szCs w:val="15"/>
              </w:rPr>
              <w:t>0</w:t>
            </w:r>
          </w:p>
        </w:tc>
      </w:tr>
    </w:tbl>
    <w:p>
      <w:pPr>
        <w:ind w:firstLine="360"/>
        <w:rPr>
          <w:sz w:val="18"/>
          <w:szCs w:val="18"/>
        </w:rPr>
      </w:pPr>
      <w:r>
        <w:rPr>
          <w:sz w:val="18"/>
          <w:szCs w:val="18"/>
        </w:rPr>
        <w:t>注：1､排放增减量：(+)表示增加，(-)表示减少   2､(12)=(6)-(8)-(11)，(9)=(4)-(5)-(8)-(11)+(1)  3､计量单位：废水排放量——万吨/年；废气排放量——万标立方米/年；工业固体废物排放量——万吨/年；水污染物排放浓度——毫克/升； 大气污染物排放浓度——毫克/立方米；水污染物排放量——吨/年；大气污染物排放量——吨/年</w:t>
      </w:r>
    </w:p>
    <w:p>
      <w:pPr>
        <w:ind w:firstLine="482"/>
        <w:rPr>
          <w:b/>
          <w:bCs/>
        </w:rPr>
        <w:sectPr>
          <w:pgSz w:w="16838" w:h="11906" w:orient="landscape"/>
          <w:pgMar w:top="1440" w:right="1468" w:bottom="1440" w:left="1440" w:header="851" w:footer="992" w:gutter="0"/>
          <w:pgNumType w:fmt="numberInDash"/>
          <w:cols w:space="720" w:num="1"/>
          <w:docGrid w:type="lines" w:linePitch="312" w:charSpace="0"/>
        </w:sectPr>
      </w:pPr>
    </w:p>
    <w:p>
      <w:pPr>
        <w:ind w:firstLine="0" w:firstLineChars="0"/>
        <w:rPr>
          <w:b/>
          <w:bCs/>
        </w:rPr>
      </w:pPr>
      <w:r>
        <w:rPr>
          <w:rFonts w:hint="eastAsia"/>
          <w:b/>
          <w:bCs/>
        </w:rPr>
        <w:t>附件</w:t>
      </w:r>
    </w:p>
    <w:p>
      <w:pPr>
        <w:pStyle w:val="28"/>
      </w:pPr>
    </w:p>
    <w:p>
      <w:pPr>
        <w:pStyle w:val="32"/>
        <w:tabs>
          <w:tab w:val="right" w:leader="dot" w:pos="8306"/>
        </w:tabs>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附件1：委托书</w:t>
      </w:r>
    </w:p>
    <w:p>
      <w:pPr>
        <w:pStyle w:val="32"/>
        <w:tabs>
          <w:tab w:val="right" w:leader="dot" w:pos="8306"/>
        </w:tabs>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附件2：项目立项文件</w:t>
      </w:r>
    </w:p>
    <w:p>
      <w:pPr>
        <w:pStyle w:val="32"/>
        <w:tabs>
          <w:tab w:val="right" w:leader="dot" w:pos="8306"/>
        </w:tabs>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附件3：建设单位营业执照</w:t>
      </w:r>
    </w:p>
    <w:p>
      <w:pPr>
        <w:pStyle w:val="32"/>
        <w:tabs>
          <w:tab w:val="right" w:leader="dot" w:pos="8306"/>
        </w:tabs>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附件4：项目的环评批文</w:t>
      </w:r>
    </w:p>
    <w:p>
      <w:pPr>
        <w:pStyle w:val="32"/>
        <w:tabs>
          <w:tab w:val="right" w:leader="dot" w:pos="8306"/>
        </w:tabs>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附件5：合作协议</w:t>
      </w:r>
    </w:p>
    <w:p>
      <w:pPr>
        <w:pStyle w:val="14"/>
        <w:spacing w:line="360" w:lineRule="auto"/>
        <w:rPr>
          <w:rFonts w:ascii="Times New Roman" w:cs="Times New Roman"/>
          <w:b/>
          <w:bCs/>
        </w:rPr>
      </w:pPr>
      <w:r>
        <w:rPr>
          <w:rFonts w:hint="eastAsia" w:ascii="Times New Roman" w:cs="Times New Roman"/>
          <w:b/>
          <w:bCs/>
        </w:rPr>
        <w:t>附件6：验收监测报告</w:t>
      </w:r>
    </w:p>
    <w:p>
      <w:pPr>
        <w:pStyle w:val="14"/>
        <w:spacing w:line="360" w:lineRule="auto"/>
        <w:rPr>
          <w:rFonts w:ascii="Times New Roman" w:cs="Times New Roman"/>
          <w:b/>
          <w:bCs/>
        </w:rPr>
      </w:pPr>
      <w:r>
        <w:rPr>
          <w:rFonts w:hint="eastAsia" w:ascii="Times New Roman" w:cs="Times New Roman"/>
          <w:b/>
          <w:bCs/>
        </w:rPr>
        <w:t>附图1：项目地理位置图</w:t>
      </w:r>
    </w:p>
    <w:p>
      <w:pPr>
        <w:pStyle w:val="14"/>
        <w:spacing w:line="360" w:lineRule="auto"/>
        <w:rPr>
          <w:rFonts w:ascii="Times New Roman" w:cs="Times New Roman"/>
          <w:b/>
          <w:bCs/>
        </w:rPr>
      </w:pPr>
      <w:r>
        <w:rPr>
          <w:rFonts w:hint="eastAsia" w:ascii="Times New Roman" w:cs="Times New Roman"/>
          <w:b/>
          <w:bCs/>
        </w:rPr>
        <w:t>附图2：项目周边关系图</w:t>
      </w:r>
    </w:p>
    <w:p>
      <w:pPr>
        <w:pStyle w:val="14"/>
        <w:spacing w:line="360" w:lineRule="auto"/>
        <w:rPr>
          <w:rFonts w:ascii="Times New Roman" w:cs="Times New Roman"/>
          <w:b/>
          <w:bCs/>
        </w:rPr>
      </w:pPr>
      <w:r>
        <w:rPr>
          <w:rFonts w:hint="eastAsia" w:ascii="Times New Roman" w:cs="Times New Roman"/>
          <w:b/>
          <w:bCs/>
        </w:rPr>
        <w:t>附图3：项目总平面布置图</w:t>
      </w:r>
    </w:p>
    <w:p>
      <w:pPr>
        <w:pStyle w:val="14"/>
        <w:spacing w:line="360" w:lineRule="auto"/>
        <w:rPr>
          <w:rFonts w:ascii="Times New Roman" w:cs="Times New Roman"/>
          <w:b/>
          <w:bCs/>
        </w:rPr>
      </w:pPr>
      <w:r>
        <w:rPr>
          <w:rFonts w:hint="eastAsia" w:ascii="Times New Roman" w:cs="Times New Roman"/>
          <w:b/>
          <w:bCs/>
        </w:rPr>
        <w:t>附图4：项目与敏感点关系图</w:t>
      </w: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482"/>
        <w:rPr>
          <w:b/>
          <w:bCs/>
        </w:rPr>
      </w:pPr>
    </w:p>
    <w:p>
      <w:pPr>
        <w:ind w:firstLine="0" w:firstLineChars="0"/>
        <w:rPr>
          <w:rFonts w:ascii="宋体" w:hAnsi="宋体"/>
          <w:b/>
          <w:sz w:val="28"/>
          <w:szCs w:val="28"/>
        </w:rPr>
      </w:pPr>
    </w:p>
    <w:p>
      <w:pPr>
        <w:ind w:firstLine="0" w:firstLineChars="0"/>
        <w:rPr>
          <w:rFonts w:ascii="宋体" w:hAnsi="宋体"/>
          <w:b/>
          <w:sz w:val="28"/>
          <w:szCs w:val="28"/>
        </w:rPr>
      </w:pPr>
      <w:r>
        <w:rPr>
          <w:rFonts w:hint="eastAsia" w:ascii="宋体" w:hAnsi="宋体"/>
          <w:b/>
          <w:sz w:val="28"/>
          <w:szCs w:val="28"/>
        </w:rPr>
        <w:t>附件1：委托书</w:t>
      </w:r>
    </w:p>
    <w:p>
      <w:pPr>
        <w:ind w:firstLine="883"/>
        <w:jc w:val="center"/>
        <w:rPr>
          <w:rFonts w:ascii="宋体" w:hAnsi="宋体"/>
          <w:b/>
          <w:sz w:val="44"/>
          <w:szCs w:val="44"/>
        </w:rPr>
      </w:pPr>
    </w:p>
    <w:p>
      <w:pPr>
        <w:ind w:firstLine="883"/>
        <w:jc w:val="center"/>
        <w:rPr>
          <w:rFonts w:ascii="宋体" w:hAnsi="宋体"/>
          <w:b/>
          <w:sz w:val="44"/>
          <w:szCs w:val="44"/>
        </w:rPr>
      </w:pPr>
      <w:r>
        <w:rPr>
          <w:rFonts w:hint="eastAsia" w:ascii="宋体" w:hAnsi="宋体"/>
          <w:b/>
          <w:sz w:val="44"/>
          <w:szCs w:val="44"/>
        </w:rPr>
        <w:t>委 托 书</w:t>
      </w:r>
    </w:p>
    <w:p>
      <w:pPr>
        <w:ind w:firstLine="640"/>
        <w:rPr>
          <w:rFonts w:ascii="宋体" w:hAnsi="宋体"/>
          <w:color w:val="000000"/>
          <w:sz w:val="32"/>
          <w:szCs w:val="32"/>
        </w:rPr>
      </w:pPr>
    </w:p>
    <w:p>
      <w:pPr>
        <w:ind w:firstLine="0" w:firstLineChars="0"/>
        <w:rPr>
          <w:rFonts w:ascii="宋体" w:hAnsi="宋体"/>
          <w:color w:val="000000"/>
          <w:sz w:val="32"/>
          <w:szCs w:val="32"/>
        </w:rPr>
      </w:pPr>
      <w:r>
        <w:rPr>
          <w:rFonts w:hint="eastAsia" w:ascii="宋体" w:hAnsi="宋体"/>
          <w:color w:val="000000"/>
          <w:sz w:val="32"/>
          <w:szCs w:val="32"/>
        </w:rPr>
        <w:t>安徽诚翔分析测试科技有限公司：</w:t>
      </w:r>
    </w:p>
    <w:p>
      <w:pPr>
        <w:ind w:firstLine="640"/>
        <w:rPr>
          <w:rFonts w:ascii="宋体" w:hAnsi="宋体"/>
          <w:color w:val="000000"/>
          <w:sz w:val="32"/>
          <w:szCs w:val="32"/>
        </w:rPr>
      </w:pPr>
      <w:r>
        <w:rPr>
          <w:rFonts w:hint="eastAsia" w:ascii="宋体" w:hAnsi="宋体"/>
          <w:color w:val="000000"/>
          <w:sz w:val="32"/>
          <w:szCs w:val="32"/>
        </w:rPr>
        <w:t xml:space="preserve"> </w:t>
      </w:r>
      <w:r>
        <w:rPr>
          <w:rFonts w:ascii="宋体" w:hAnsi="宋体"/>
          <w:color w:val="000000"/>
          <w:sz w:val="32"/>
          <w:szCs w:val="32"/>
        </w:rPr>
        <w:t xml:space="preserve">  </w:t>
      </w:r>
      <w:r>
        <w:rPr>
          <w:rFonts w:hint="eastAsia" w:ascii="宋体" w:hAnsi="宋体"/>
          <w:color w:val="000000"/>
          <w:sz w:val="32"/>
          <w:szCs w:val="32"/>
        </w:rPr>
        <w:t>我公司灵通横港物流园L-CNC油气合建站项目现已完成环境影响评价报批工作，根据国家生态环境部《建设项目竣工环境保护验收暂行办法》文件精神，特委托安徽诚翔分析测试科技有限公司对我公司灵通横港物流园L-CNC油气合建站项目开展建设项目竣工环境保护验收监测工作，提供合格的监测数据 。</w:t>
      </w:r>
    </w:p>
    <w:p>
      <w:pPr>
        <w:ind w:firstLine="640"/>
        <w:rPr>
          <w:rFonts w:ascii="宋体" w:hAnsi="宋体"/>
          <w:color w:val="000000"/>
          <w:sz w:val="32"/>
          <w:szCs w:val="32"/>
        </w:rPr>
      </w:pPr>
    </w:p>
    <w:p>
      <w:pPr>
        <w:ind w:firstLine="640"/>
        <w:rPr>
          <w:rFonts w:ascii="宋体" w:hAnsi="宋体"/>
          <w:color w:val="000000"/>
          <w:sz w:val="32"/>
          <w:szCs w:val="32"/>
        </w:rPr>
      </w:pPr>
      <w:r>
        <w:rPr>
          <w:rFonts w:hint="eastAsia" w:ascii="宋体" w:hAnsi="宋体"/>
          <w:color w:val="000000"/>
          <w:sz w:val="32"/>
          <w:szCs w:val="32"/>
        </w:rPr>
        <w:t>特此委托</w:t>
      </w:r>
    </w:p>
    <w:p>
      <w:pPr>
        <w:ind w:firstLine="640"/>
        <w:rPr>
          <w:rFonts w:ascii="宋体" w:hAnsi="宋体"/>
          <w:color w:val="000000"/>
          <w:sz w:val="32"/>
          <w:szCs w:val="32"/>
        </w:rPr>
      </w:pPr>
    </w:p>
    <w:p>
      <w:pPr>
        <w:ind w:firstLine="640"/>
        <w:jc w:val="right"/>
        <w:rPr>
          <w:rFonts w:ascii="宋体" w:hAnsi="宋体"/>
          <w:color w:val="000000"/>
          <w:sz w:val="32"/>
          <w:szCs w:val="32"/>
        </w:rPr>
      </w:pPr>
      <w:r>
        <w:rPr>
          <w:rFonts w:hint="eastAsia" w:ascii="宋体" w:hAnsi="宋体"/>
          <w:color w:val="000000"/>
          <w:sz w:val="32"/>
          <w:szCs w:val="32"/>
        </w:rPr>
        <w:t>安徽灵通清洁能源股份有限公司</w:t>
      </w:r>
    </w:p>
    <w:p>
      <w:pPr>
        <w:ind w:firstLine="640"/>
        <w:jc w:val="right"/>
        <w:rPr>
          <w:rFonts w:ascii="宋体" w:hAnsi="宋体"/>
          <w:color w:val="000000"/>
          <w:sz w:val="32"/>
          <w:szCs w:val="32"/>
        </w:rPr>
      </w:pPr>
    </w:p>
    <w:p>
      <w:pPr>
        <w:ind w:firstLine="640"/>
        <w:jc w:val="right"/>
        <w:rPr>
          <w:rFonts w:ascii="宋体" w:hAnsi="宋体"/>
          <w:sz w:val="32"/>
          <w:szCs w:val="32"/>
        </w:rPr>
      </w:pPr>
      <w:r>
        <w:rPr>
          <w:rFonts w:hint="eastAsia" w:ascii="宋体" w:hAnsi="宋体"/>
          <w:color w:val="000000"/>
          <w:sz w:val="32"/>
          <w:szCs w:val="32"/>
        </w:rPr>
        <w:t>2</w:t>
      </w:r>
      <w:r>
        <w:rPr>
          <w:rFonts w:ascii="宋体" w:hAnsi="宋体"/>
          <w:color w:val="000000"/>
          <w:sz w:val="32"/>
          <w:szCs w:val="32"/>
        </w:rPr>
        <w:t>0</w:t>
      </w:r>
      <w:r>
        <w:rPr>
          <w:rFonts w:hint="eastAsia" w:ascii="宋体" w:hAnsi="宋体"/>
          <w:color w:val="000000"/>
          <w:sz w:val="32"/>
          <w:szCs w:val="32"/>
        </w:rPr>
        <w:t>2</w:t>
      </w:r>
      <w:r>
        <w:rPr>
          <w:rFonts w:ascii="宋体" w:hAnsi="宋体"/>
          <w:color w:val="000000"/>
          <w:sz w:val="32"/>
          <w:szCs w:val="32"/>
        </w:rPr>
        <w:t>1</w:t>
      </w:r>
      <w:r>
        <w:rPr>
          <w:rFonts w:hint="eastAsia" w:ascii="宋体" w:hAnsi="宋体"/>
          <w:color w:val="000000"/>
          <w:sz w:val="32"/>
          <w:szCs w:val="32"/>
        </w:rPr>
        <w:t>年</w:t>
      </w:r>
      <w:r>
        <w:rPr>
          <w:rFonts w:ascii="宋体" w:hAnsi="宋体"/>
          <w:color w:val="000000"/>
          <w:sz w:val="32"/>
          <w:szCs w:val="32"/>
        </w:rPr>
        <w:t>8</w:t>
      </w:r>
      <w:r>
        <w:rPr>
          <w:rFonts w:hint="eastAsia" w:ascii="宋体" w:hAnsi="宋体"/>
          <w:color w:val="000000"/>
          <w:sz w:val="32"/>
          <w:szCs w:val="32"/>
        </w:rPr>
        <w:t>月</w:t>
      </w:r>
      <w:r>
        <w:rPr>
          <w:rFonts w:ascii="宋体" w:hAnsi="宋体"/>
          <w:color w:val="000000"/>
          <w:sz w:val="32"/>
          <w:szCs w:val="32"/>
        </w:rPr>
        <w:t>2</w:t>
      </w:r>
      <w:r>
        <w:rPr>
          <w:rFonts w:hint="eastAsia" w:ascii="宋体" w:hAnsi="宋体"/>
          <w:color w:val="000000"/>
          <w:sz w:val="32"/>
          <w:szCs w:val="32"/>
        </w:rPr>
        <w:t>日</w:t>
      </w:r>
    </w:p>
    <w:p>
      <w:pPr>
        <w:ind w:firstLine="640"/>
        <w:rPr>
          <w:rFonts w:ascii="宋体" w:hAnsi="宋体"/>
          <w:sz w:val="32"/>
          <w:szCs w:val="32"/>
        </w:rPr>
      </w:pPr>
    </w:p>
    <w:p>
      <w:pPr>
        <w:ind w:firstLine="0" w:firstLineChars="0"/>
        <w:rPr>
          <w:b/>
          <w:bCs/>
        </w:rPr>
      </w:pPr>
    </w:p>
    <w:p>
      <w:pPr>
        <w:ind w:firstLine="883"/>
        <w:jc w:val="center"/>
        <w:rPr>
          <w:rFonts w:ascii="宋体" w:hAnsi="宋体"/>
          <w:b/>
          <w:sz w:val="44"/>
          <w:szCs w:val="44"/>
        </w:rPr>
      </w:pPr>
    </w:p>
    <w:p>
      <w:pPr>
        <w:ind w:firstLine="883"/>
        <w:jc w:val="center"/>
        <w:rPr>
          <w:rFonts w:ascii="宋体" w:hAnsi="宋体"/>
          <w:b/>
          <w:sz w:val="44"/>
          <w:szCs w:val="44"/>
        </w:rPr>
      </w:pPr>
    </w:p>
    <w:p>
      <w:pPr>
        <w:ind w:firstLine="883"/>
        <w:jc w:val="center"/>
        <w:rPr>
          <w:rFonts w:ascii="宋体" w:hAnsi="宋体"/>
          <w:b/>
          <w:sz w:val="44"/>
          <w:szCs w:val="44"/>
        </w:rPr>
      </w:pPr>
      <w:r>
        <w:rPr>
          <w:rFonts w:hint="eastAsia" w:ascii="宋体" w:hAnsi="宋体"/>
          <w:b/>
          <w:sz w:val="44"/>
          <w:szCs w:val="44"/>
        </w:rPr>
        <w:t>委 托 书</w:t>
      </w:r>
    </w:p>
    <w:p>
      <w:pPr>
        <w:ind w:firstLine="640"/>
        <w:rPr>
          <w:rFonts w:ascii="宋体" w:hAnsi="宋体"/>
          <w:color w:val="000000"/>
          <w:sz w:val="32"/>
          <w:szCs w:val="32"/>
        </w:rPr>
      </w:pPr>
    </w:p>
    <w:p>
      <w:pPr>
        <w:ind w:firstLine="0" w:firstLineChars="0"/>
        <w:rPr>
          <w:rFonts w:ascii="宋体" w:hAnsi="宋体"/>
          <w:color w:val="000000"/>
          <w:sz w:val="32"/>
          <w:szCs w:val="32"/>
        </w:rPr>
      </w:pPr>
      <w:r>
        <w:rPr>
          <w:rFonts w:hint="eastAsia" w:ascii="宋体" w:hAnsi="宋体"/>
          <w:color w:val="000000"/>
          <w:sz w:val="32"/>
          <w:szCs w:val="32"/>
        </w:rPr>
        <w:t>安徽世纪鑫源环保科技有限公司：</w:t>
      </w:r>
    </w:p>
    <w:p>
      <w:pPr>
        <w:ind w:firstLine="640"/>
        <w:rPr>
          <w:rFonts w:ascii="宋体" w:hAnsi="宋体"/>
          <w:color w:val="000000"/>
          <w:sz w:val="32"/>
          <w:szCs w:val="32"/>
        </w:rPr>
      </w:pPr>
      <w:r>
        <w:rPr>
          <w:rFonts w:hint="eastAsia" w:ascii="宋体" w:hAnsi="宋体"/>
          <w:color w:val="000000"/>
          <w:sz w:val="32"/>
          <w:szCs w:val="32"/>
        </w:rPr>
        <w:t xml:space="preserve"> </w:t>
      </w:r>
      <w:r>
        <w:rPr>
          <w:rFonts w:ascii="宋体" w:hAnsi="宋体"/>
          <w:color w:val="000000"/>
          <w:sz w:val="32"/>
          <w:szCs w:val="32"/>
        </w:rPr>
        <w:t xml:space="preserve">  </w:t>
      </w:r>
      <w:r>
        <w:rPr>
          <w:rFonts w:hint="eastAsia" w:ascii="宋体" w:hAnsi="宋体"/>
          <w:color w:val="000000"/>
          <w:sz w:val="32"/>
          <w:szCs w:val="32"/>
        </w:rPr>
        <w:t>我公司灵通横港物流园L-CNC油气合建站项目现已完成环境影响评价工作，根据国家生态环境部《建设项目竣工环境保护验收暂行办法》文件精神，委托安徽诚翔分析测试科技有限公司对灵通横港物流园L-CNC油气合建站项目开展建设项目竣工环境保护验收监测工作，现监测数据已出来，特委托贵公司根据监测数据编制该项目的竣工环境保护验收报告。</w:t>
      </w:r>
    </w:p>
    <w:p>
      <w:pPr>
        <w:ind w:firstLine="640"/>
        <w:rPr>
          <w:rFonts w:ascii="宋体" w:hAnsi="宋体"/>
          <w:color w:val="000000"/>
          <w:sz w:val="32"/>
          <w:szCs w:val="32"/>
        </w:rPr>
      </w:pPr>
    </w:p>
    <w:p>
      <w:pPr>
        <w:ind w:firstLine="640"/>
        <w:rPr>
          <w:rFonts w:ascii="宋体" w:hAnsi="宋体"/>
          <w:color w:val="000000"/>
          <w:sz w:val="32"/>
          <w:szCs w:val="32"/>
        </w:rPr>
      </w:pPr>
      <w:r>
        <w:rPr>
          <w:rFonts w:hint="eastAsia" w:ascii="宋体" w:hAnsi="宋体"/>
          <w:color w:val="000000"/>
          <w:sz w:val="32"/>
          <w:szCs w:val="32"/>
        </w:rPr>
        <w:t>特此委托</w:t>
      </w:r>
    </w:p>
    <w:p>
      <w:pPr>
        <w:ind w:firstLine="640"/>
        <w:rPr>
          <w:rFonts w:ascii="宋体" w:hAnsi="宋体"/>
          <w:color w:val="000000"/>
          <w:sz w:val="32"/>
          <w:szCs w:val="32"/>
        </w:rPr>
      </w:pPr>
    </w:p>
    <w:p>
      <w:pPr>
        <w:ind w:firstLine="640"/>
        <w:jc w:val="right"/>
        <w:rPr>
          <w:rFonts w:ascii="宋体" w:hAnsi="宋体"/>
          <w:color w:val="000000"/>
          <w:sz w:val="32"/>
          <w:szCs w:val="32"/>
        </w:rPr>
      </w:pPr>
      <w:r>
        <w:rPr>
          <w:rFonts w:hint="eastAsia" w:ascii="宋体" w:hAnsi="宋体"/>
          <w:color w:val="000000"/>
          <w:sz w:val="32"/>
          <w:szCs w:val="32"/>
        </w:rPr>
        <w:t>安徽灵通清洁能源股份有限公司</w:t>
      </w:r>
    </w:p>
    <w:p>
      <w:pPr>
        <w:ind w:firstLine="640"/>
        <w:jc w:val="right"/>
        <w:rPr>
          <w:rFonts w:ascii="宋体" w:hAnsi="宋体"/>
          <w:color w:val="000000"/>
          <w:sz w:val="32"/>
          <w:szCs w:val="32"/>
        </w:rPr>
      </w:pPr>
    </w:p>
    <w:p>
      <w:pPr>
        <w:ind w:firstLine="640"/>
        <w:jc w:val="right"/>
        <w:rPr>
          <w:rFonts w:ascii="宋体" w:hAnsi="宋体"/>
          <w:sz w:val="32"/>
          <w:szCs w:val="32"/>
        </w:rPr>
      </w:pPr>
      <w:r>
        <w:rPr>
          <w:rFonts w:hint="eastAsia" w:ascii="宋体" w:hAnsi="宋体"/>
          <w:color w:val="000000"/>
          <w:sz w:val="32"/>
          <w:szCs w:val="32"/>
        </w:rPr>
        <w:t>2</w:t>
      </w:r>
      <w:r>
        <w:rPr>
          <w:rFonts w:ascii="宋体" w:hAnsi="宋体"/>
          <w:color w:val="000000"/>
          <w:sz w:val="32"/>
          <w:szCs w:val="32"/>
        </w:rPr>
        <w:t>0</w:t>
      </w:r>
      <w:r>
        <w:rPr>
          <w:rFonts w:hint="eastAsia" w:ascii="宋体" w:hAnsi="宋体"/>
          <w:color w:val="000000"/>
          <w:sz w:val="32"/>
          <w:szCs w:val="32"/>
        </w:rPr>
        <w:t>2</w:t>
      </w:r>
      <w:r>
        <w:rPr>
          <w:rFonts w:ascii="宋体" w:hAnsi="宋体"/>
          <w:color w:val="000000"/>
          <w:sz w:val="32"/>
          <w:szCs w:val="32"/>
        </w:rPr>
        <w:t>1</w:t>
      </w:r>
      <w:r>
        <w:rPr>
          <w:rFonts w:hint="eastAsia" w:ascii="宋体" w:hAnsi="宋体"/>
          <w:color w:val="000000"/>
          <w:sz w:val="32"/>
          <w:szCs w:val="32"/>
        </w:rPr>
        <w:t>年</w:t>
      </w:r>
      <w:r>
        <w:rPr>
          <w:rFonts w:ascii="宋体" w:hAnsi="宋体"/>
          <w:color w:val="000000"/>
          <w:sz w:val="32"/>
          <w:szCs w:val="32"/>
        </w:rPr>
        <w:t>8</w:t>
      </w:r>
      <w:r>
        <w:rPr>
          <w:rFonts w:hint="eastAsia" w:ascii="宋体" w:hAnsi="宋体"/>
          <w:color w:val="000000"/>
          <w:sz w:val="32"/>
          <w:szCs w:val="32"/>
        </w:rPr>
        <w:t>月10日</w:t>
      </w:r>
    </w:p>
    <w:p>
      <w:pPr>
        <w:ind w:firstLine="640"/>
        <w:rPr>
          <w:rFonts w:ascii="宋体" w:hAnsi="宋体"/>
          <w:sz w:val="32"/>
          <w:szCs w:val="32"/>
        </w:rPr>
      </w:pPr>
    </w:p>
    <w:p>
      <w:pPr>
        <w:ind w:firstLine="640"/>
        <w:rPr>
          <w:rFonts w:ascii="宋体" w:hAnsi="宋体"/>
          <w:sz w:val="32"/>
          <w:szCs w:val="32"/>
        </w:rPr>
      </w:pPr>
    </w:p>
    <w:p>
      <w:pPr>
        <w:ind w:firstLine="640"/>
        <w:rPr>
          <w:rFonts w:ascii="宋体" w:hAnsi="宋体"/>
          <w:sz w:val="32"/>
          <w:szCs w:val="32"/>
        </w:rPr>
      </w:pPr>
    </w:p>
    <w:p>
      <w:pPr>
        <w:ind w:firstLine="640"/>
        <w:rPr>
          <w:rFonts w:ascii="宋体" w:hAnsi="宋体"/>
          <w:sz w:val="32"/>
          <w:szCs w:val="32"/>
        </w:rPr>
      </w:pPr>
    </w:p>
    <w:p>
      <w:pPr>
        <w:ind w:firstLine="640"/>
        <w:rPr>
          <w:rFonts w:ascii="宋体" w:hAnsi="宋体"/>
          <w:sz w:val="32"/>
          <w:szCs w:val="32"/>
        </w:rPr>
      </w:pPr>
    </w:p>
    <w:p>
      <w:pPr>
        <w:ind w:firstLine="640"/>
        <w:rPr>
          <w:rFonts w:ascii="宋体" w:hAnsi="宋体"/>
          <w:sz w:val="32"/>
          <w:szCs w:val="32"/>
        </w:rPr>
      </w:pPr>
    </w:p>
    <w:p>
      <w:pPr>
        <w:pStyle w:val="4"/>
        <w:keepNext w:val="0"/>
        <w:keepLines w:val="0"/>
        <w:spacing w:line="560" w:lineRule="exact"/>
        <w:rPr>
          <w:rFonts w:ascii="楷体" w:hAnsi="楷体" w:eastAsia="楷体"/>
          <w:kern w:val="0"/>
        </w:rPr>
      </w:pPr>
      <w:bookmarkStart w:id="59" w:name="_Toc22205"/>
      <w:r>
        <w:rPr>
          <w:rFonts w:hint="eastAsia" w:ascii="楷体" w:hAnsi="楷体" w:eastAsia="楷体"/>
          <w:kern w:val="0"/>
        </w:rPr>
        <w:t>附件一 企业营业执照</w:t>
      </w:r>
      <w:bookmarkEnd w:id="59"/>
    </w:p>
    <w:p>
      <w:pPr>
        <w:ind w:firstLine="480"/>
      </w:pPr>
      <w:r>
        <w:rPr>
          <w:rFonts w:hint="eastAsia"/>
        </w:rPr>
        <w:drawing>
          <wp:inline distT="0" distB="0" distL="0" distR="0">
            <wp:extent cx="5391150" cy="7362825"/>
            <wp:effectExtent l="19050" t="0" r="0" b="0"/>
            <wp:docPr id="5" name="图片 9" descr="9142306389044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914230638904466183"/>
                    <pic:cNvPicPr>
                      <a:picLocks noChangeAspect="1" noChangeArrowheads="1"/>
                    </pic:cNvPicPr>
                  </pic:nvPicPr>
                  <pic:blipFill>
                    <a:blip r:embed="rId33" cstate="print"/>
                    <a:srcRect/>
                    <a:stretch>
                      <a:fillRect/>
                    </a:stretch>
                  </pic:blipFill>
                  <pic:spPr>
                    <a:xfrm>
                      <a:off x="0" y="0"/>
                      <a:ext cx="5391150" cy="7362825"/>
                    </a:xfrm>
                    <a:prstGeom prst="rect">
                      <a:avLst/>
                    </a:prstGeom>
                    <a:noFill/>
                    <a:ln w="9525">
                      <a:noFill/>
                      <a:miter lim="800000"/>
                      <a:headEnd/>
                      <a:tailEnd/>
                    </a:ln>
                  </pic:spPr>
                </pic:pic>
              </a:graphicData>
            </a:graphic>
          </wp:inline>
        </w:drawing>
      </w:r>
    </w:p>
    <w:p>
      <w:pPr>
        <w:pStyle w:val="3"/>
        <w:keepNext w:val="0"/>
        <w:pageBreakBefore/>
        <w:spacing w:before="240" w:after="240" w:line="560" w:lineRule="exact"/>
        <w:rPr>
          <w:rFonts w:ascii="楷体" w:hAnsi="楷体" w:eastAsia="楷体"/>
          <w:kern w:val="0"/>
        </w:rPr>
      </w:pPr>
      <w:r>
        <w:rPr>
          <w:rFonts w:hint="eastAsia" w:ascii="楷体" w:hAnsi="楷体" w:eastAsia="楷体"/>
          <w:kern w:val="0"/>
        </w:rPr>
        <w:t xml:space="preserve">附件二 拟建工程选址审查意见通知 </w:t>
      </w:r>
    </w:p>
    <w:p>
      <w:pPr>
        <w:ind w:firstLine="480"/>
      </w:pPr>
      <w:r>
        <w:rPr>
          <w:rFonts w:hint="eastAsia"/>
        </w:rPr>
        <w:drawing>
          <wp:inline distT="0" distB="0" distL="0" distR="0">
            <wp:extent cx="5391150" cy="7486650"/>
            <wp:effectExtent l="19050" t="0" r="0" b="0"/>
            <wp:docPr id="8" name="图片 10" descr="横港选址审查意见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横港选址审查意见单"/>
                    <pic:cNvPicPr>
                      <a:picLocks noChangeAspect="1" noChangeArrowheads="1"/>
                    </pic:cNvPicPr>
                  </pic:nvPicPr>
                  <pic:blipFill>
                    <a:blip r:embed="rId34" cstate="print"/>
                    <a:srcRect/>
                    <a:stretch>
                      <a:fillRect/>
                    </a:stretch>
                  </pic:blipFill>
                  <pic:spPr>
                    <a:xfrm>
                      <a:off x="0" y="0"/>
                      <a:ext cx="5391150" cy="7486650"/>
                    </a:xfrm>
                    <a:prstGeom prst="rect">
                      <a:avLst/>
                    </a:prstGeom>
                    <a:noFill/>
                    <a:ln w="9525">
                      <a:noFill/>
                      <a:miter lim="800000"/>
                      <a:headEnd/>
                      <a:tailEnd/>
                    </a:ln>
                  </pic:spPr>
                </pic:pic>
              </a:graphicData>
            </a:graphic>
          </wp:inline>
        </w:drawing>
      </w:r>
    </w:p>
    <w:p>
      <w:pPr>
        <w:ind w:firstLine="480"/>
      </w:pPr>
    </w:p>
    <w:p>
      <w:pPr>
        <w:ind w:firstLine="480"/>
      </w:pPr>
    </w:p>
    <w:p>
      <w:pPr>
        <w:ind w:firstLine="480"/>
      </w:pPr>
    </w:p>
    <w:p>
      <w:pPr>
        <w:ind w:firstLine="480"/>
      </w:pPr>
      <w:r>
        <w:rPr>
          <w:rFonts w:hint="eastAsia"/>
        </w:rPr>
        <w:t xml:space="preserve">附件三：项目备案的函 </w:t>
      </w:r>
    </w:p>
    <w:p>
      <w:pPr>
        <w:ind w:firstLine="480"/>
      </w:pPr>
      <w:r>
        <w:rPr>
          <w:rFonts w:hint="eastAsia"/>
        </w:rPr>
        <w:drawing>
          <wp:inline distT="0" distB="0" distL="0" distR="0">
            <wp:extent cx="5391150" cy="8001000"/>
            <wp:effectExtent l="0" t="0" r="0" b="0"/>
            <wp:docPr id="204" name="图片 11" descr="横港物流园L-CNG备案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 descr="横港物流园L-CNG备案批复1"/>
                    <pic:cNvPicPr>
                      <a:picLocks noChangeAspect="1" noChangeArrowheads="1"/>
                    </pic:cNvPicPr>
                  </pic:nvPicPr>
                  <pic:blipFill>
                    <a:blip r:embed="rId35" cstate="print"/>
                    <a:srcRect/>
                    <a:stretch>
                      <a:fillRect/>
                    </a:stretch>
                  </pic:blipFill>
                  <pic:spPr>
                    <a:xfrm>
                      <a:off x="0" y="0"/>
                      <a:ext cx="5391150" cy="8001000"/>
                    </a:xfrm>
                    <a:prstGeom prst="rect">
                      <a:avLst/>
                    </a:prstGeom>
                    <a:noFill/>
                    <a:ln w="9525">
                      <a:noFill/>
                      <a:miter lim="800000"/>
                      <a:headEnd/>
                      <a:tailEnd/>
                    </a:ln>
                  </pic:spPr>
                </pic:pic>
              </a:graphicData>
            </a:graphic>
          </wp:inline>
        </w:drawing>
      </w:r>
    </w:p>
    <w:p>
      <w:pPr>
        <w:ind w:firstLine="480"/>
      </w:pPr>
    </w:p>
    <w:p>
      <w:pPr>
        <w:ind w:firstLine="480"/>
      </w:pPr>
    </w:p>
    <w:p>
      <w:pPr>
        <w:ind w:firstLine="480"/>
      </w:pPr>
    </w:p>
    <w:p>
      <w:pPr>
        <w:ind w:firstLine="480"/>
      </w:pPr>
      <w:r>
        <w:rPr>
          <w:rFonts w:hint="eastAsia" w:hAnsi="楷体_GB2312"/>
          <w:spacing w:val="-6"/>
          <w:szCs w:val="32"/>
        </w:rPr>
        <w:drawing>
          <wp:anchor distT="0" distB="0" distL="114300" distR="114300" simplePos="0" relativeHeight="257216512" behindDoc="0" locked="0" layoutInCell="1" allowOverlap="1">
            <wp:simplePos x="0" y="0"/>
            <wp:positionH relativeFrom="margin">
              <wp:align>left</wp:align>
            </wp:positionH>
            <wp:positionV relativeFrom="paragraph">
              <wp:posOffset>0</wp:posOffset>
            </wp:positionV>
            <wp:extent cx="5391150" cy="8743950"/>
            <wp:effectExtent l="0" t="0" r="0" b="0"/>
            <wp:wrapNone/>
            <wp:docPr id="9" name="图片 12" descr="横港物流园L-CNG备案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横港物流园L-CNG备案批复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391150" cy="8743950"/>
                    </a:xfrm>
                    <a:prstGeom prst="rect">
                      <a:avLst/>
                    </a:prstGeom>
                    <a:noFill/>
                    <a:ln w="9525">
                      <a:noFill/>
                      <a:miter lim="800000"/>
                      <a:headEnd/>
                      <a:tailEnd/>
                    </a:ln>
                  </pic:spPr>
                </pic:pic>
              </a:graphicData>
            </a:graphic>
          </wp:anchor>
        </w:drawing>
      </w:r>
    </w:p>
    <w:p>
      <w:pPr>
        <w:pStyle w:val="3"/>
        <w:keepNext w:val="0"/>
        <w:pageBreakBefore/>
        <w:spacing w:before="240" w:after="240"/>
        <w:jc w:val="both"/>
        <w:rPr>
          <w:rFonts w:hAnsi="楷体_GB2312"/>
          <w:spacing w:val="-6"/>
        </w:rPr>
      </w:pPr>
      <w:r>
        <w:rPr>
          <w:rFonts w:hint="eastAsia" w:hAnsi="楷体_GB2312"/>
          <w:spacing w:val="-6"/>
        </w:rPr>
        <w:t>附件四：该项目环境影响评价审批文件</w:t>
      </w:r>
    </w:p>
    <w:p>
      <w:pPr>
        <w:ind w:firstLine="480"/>
      </w:pPr>
      <w:r>
        <w:drawing>
          <wp:inline distT="0" distB="0" distL="0" distR="0">
            <wp:extent cx="5562600" cy="7995285"/>
            <wp:effectExtent l="0" t="0" r="0" b="5715"/>
            <wp:docPr id="205" name="图片 205" descr="F:\0180718：灵通大通加油加气站验收\0181021：环评补充说明\0181021：横港物流园加油加气站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F:\0180718：灵通大通加油加气站验收\0181021：环评补充说明\0181021：横港物流园加油加气站环评批复.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62600" cy="7995285"/>
                    </a:xfrm>
                    <a:prstGeom prst="rect">
                      <a:avLst/>
                    </a:prstGeom>
                    <a:noFill/>
                    <a:ln>
                      <a:noFill/>
                    </a:ln>
                  </pic:spPr>
                </pic:pic>
              </a:graphicData>
            </a:graphic>
          </wp:inline>
        </w:drawing>
      </w:r>
    </w:p>
    <w:p>
      <w:pPr>
        <w:ind w:firstLine="480"/>
      </w:pPr>
      <w:r>
        <w:drawing>
          <wp:inline distT="0" distB="0" distL="0" distR="0">
            <wp:extent cx="5581650" cy="8870950"/>
            <wp:effectExtent l="0" t="0" r="0" b="6350"/>
            <wp:docPr id="206" name="图片 206" descr="F:\0180718：灵通大通加油加气站验收\0181021：环评补充说明\0181021：横港物流园加油加气站环评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F:\0180718：灵通大通加油加气站验收\0181021：环评补充说明\0181021：横港物流园加油加气站环评批复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581650" cy="8870950"/>
                    </a:xfrm>
                    <a:prstGeom prst="rect">
                      <a:avLst/>
                    </a:prstGeom>
                    <a:noFill/>
                    <a:ln>
                      <a:noFill/>
                    </a:ln>
                  </pic:spPr>
                </pic:pic>
              </a:graphicData>
            </a:graphic>
          </wp:inline>
        </w:drawing>
      </w:r>
    </w:p>
    <w:p>
      <w:pPr>
        <w:ind w:firstLine="480"/>
      </w:pPr>
      <w:r>
        <w:drawing>
          <wp:inline distT="0" distB="0" distL="0" distR="0">
            <wp:extent cx="5562600" cy="8775700"/>
            <wp:effectExtent l="0" t="0" r="0" b="6350"/>
            <wp:docPr id="207" name="图片 207" descr="F:\0180718：灵通大通加油加气站验收\0181021：环评补充说明\0181021：横港物流园加油加气站环评批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F:\0180718：灵通大通加油加气站验收\0181021：环评补充说明\0181021：横港物流园加油加气站环评批复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62600" cy="8775700"/>
                    </a:xfrm>
                    <a:prstGeom prst="rect">
                      <a:avLst/>
                    </a:prstGeom>
                    <a:noFill/>
                    <a:ln>
                      <a:noFill/>
                    </a:ln>
                  </pic:spPr>
                </pic:pic>
              </a:graphicData>
            </a:graphic>
          </wp:inline>
        </w:drawing>
      </w:r>
    </w:p>
    <w:p>
      <w:pPr>
        <w:ind w:firstLine="480"/>
      </w:pPr>
    </w:p>
    <w:p>
      <w:pPr>
        <w:ind w:firstLine="480"/>
      </w:pPr>
      <w:r>
        <w:drawing>
          <wp:inline distT="0" distB="0" distL="0" distR="0">
            <wp:extent cx="5562600" cy="7620000"/>
            <wp:effectExtent l="0" t="0" r="0" b="0"/>
            <wp:docPr id="208" name="图片 208" descr="F:\0180718：灵通大通加油加气站验收\0181021：环评补充说明\0181021：横港物流园加油加气站环评批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F:\0180718：灵通大通加油加气站验收\0181021：环评补充说明\0181021：横港物流园加油加气站环评批复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562600" cy="7620000"/>
                    </a:xfrm>
                    <a:prstGeom prst="rect">
                      <a:avLst/>
                    </a:prstGeom>
                    <a:noFill/>
                    <a:ln>
                      <a:noFill/>
                    </a:ln>
                  </pic:spPr>
                </pic:pic>
              </a:graphicData>
            </a:graphic>
          </wp:inline>
        </w:drawing>
      </w:r>
    </w:p>
    <w:p>
      <w:pPr>
        <w:ind w:firstLine="480"/>
      </w:pPr>
    </w:p>
    <w:p>
      <w:pPr>
        <w:ind w:firstLine="480"/>
      </w:pPr>
    </w:p>
    <w:p>
      <w:pPr>
        <w:ind w:firstLine="480"/>
      </w:pPr>
    </w:p>
    <w:p>
      <w:pPr>
        <w:ind w:firstLine="0" w:firstLineChars="0"/>
        <w:rPr>
          <w:b/>
          <w:bCs/>
          <w:sz w:val="28"/>
          <w:szCs w:val="28"/>
        </w:rPr>
      </w:pPr>
      <w:r>
        <w:rPr>
          <w:rFonts w:hint="eastAsia"/>
          <w:b/>
          <w:bCs/>
          <w:sz w:val="28"/>
          <w:szCs w:val="28"/>
        </w:rPr>
        <w:t>附件5：验收监测报告</w:t>
      </w:r>
    </w:p>
    <w:p>
      <w:pPr>
        <w:ind w:firstLine="0" w:firstLineChars="0"/>
        <w:rPr>
          <w:b/>
          <w:bCs/>
          <w:sz w:val="28"/>
          <w:szCs w:val="28"/>
        </w:rPr>
      </w:pPr>
      <w:r>
        <w:drawing>
          <wp:inline distT="0" distB="0" distL="114300" distR="114300">
            <wp:extent cx="5524500" cy="8392795"/>
            <wp:effectExtent l="0" t="0" r="0" b="190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1"/>
                    <a:stretch>
                      <a:fillRect/>
                    </a:stretch>
                  </pic:blipFill>
                  <pic:spPr>
                    <a:xfrm>
                      <a:off x="0" y="0"/>
                      <a:ext cx="5524500" cy="8392795"/>
                    </a:xfrm>
                    <a:prstGeom prst="rect">
                      <a:avLst/>
                    </a:prstGeom>
                    <a:noFill/>
                    <a:ln>
                      <a:noFill/>
                    </a:ln>
                  </pic:spPr>
                </pic:pic>
              </a:graphicData>
            </a:graphic>
          </wp:inline>
        </w:drawing>
      </w:r>
    </w:p>
    <w:p>
      <w:pPr>
        <w:pStyle w:val="6"/>
        <w:ind w:firstLine="0" w:firstLineChars="0"/>
      </w:pPr>
      <w:r>
        <w:drawing>
          <wp:inline distT="0" distB="0" distL="114300" distR="114300">
            <wp:extent cx="5486400" cy="8717280"/>
            <wp:effectExtent l="0" t="0" r="0" b="762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2"/>
                    <a:stretch>
                      <a:fillRect/>
                    </a:stretch>
                  </pic:blipFill>
                  <pic:spPr>
                    <a:xfrm>
                      <a:off x="0" y="0"/>
                      <a:ext cx="5486400" cy="8717280"/>
                    </a:xfrm>
                    <a:prstGeom prst="rect">
                      <a:avLst/>
                    </a:prstGeom>
                    <a:noFill/>
                    <a:ln>
                      <a:noFill/>
                    </a:ln>
                  </pic:spPr>
                </pic:pic>
              </a:graphicData>
            </a:graphic>
          </wp:inline>
        </w:drawing>
      </w:r>
    </w:p>
    <w:p>
      <w:pPr>
        <w:pStyle w:val="6"/>
        <w:ind w:firstLine="0" w:firstLineChars="0"/>
      </w:pPr>
      <w:r>
        <w:drawing>
          <wp:inline distT="0" distB="0" distL="114300" distR="114300">
            <wp:extent cx="5518150" cy="8781415"/>
            <wp:effectExtent l="0" t="0" r="6350" b="698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43"/>
                    <a:stretch>
                      <a:fillRect/>
                    </a:stretch>
                  </pic:blipFill>
                  <pic:spPr>
                    <a:xfrm>
                      <a:off x="0" y="0"/>
                      <a:ext cx="5518150" cy="8781415"/>
                    </a:xfrm>
                    <a:prstGeom prst="rect">
                      <a:avLst/>
                    </a:prstGeom>
                    <a:noFill/>
                    <a:ln>
                      <a:noFill/>
                    </a:ln>
                  </pic:spPr>
                </pic:pic>
              </a:graphicData>
            </a:graphic>
          </wp:inline>
        </w:drawing>
      </w:r>
    </w:p>
    <w:p>
      <w:pPr>
        <w:ind w:firstLine="0" w:firstLineChars="0"/>
        <w:rPr>
          <w:b/>
          <w:bCs/>
          <w:sz w:val="28"/>
          <w:szCs w:val="28"/>
        </w:rPr>
      </w:pPr>
      <w:r>
        <w:drawing>
          <wp:inline distT="0" distB="0" distL="114300" distR="114300">
            <wp:extent cx="5473065" cy="8731250"/>
            <wp:effectExtent l="0" t="0" r="635" b="635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5473065" cy="8731250"/>
                    </a:xfrm>
                    <a:prstGeom prst="rect">
                      <a:avLst/>
                    </a:prstGeom>
                    <a:noFill/>
                    <a:ln>
                      <a:noFill/>
                    </a:ln>
                  </pic:spPr>
                </pic:pic>
              </a:graphicData>
            </a:graphic>
          </wp:inline>
        </w:drawing>
      </w:r>
    </w:p>
    <w:p>
      <w:pPr>
        <w:ind w:firstLine="0" w:firstLineChars="0"/>
        <w:rPr>
          <w:b/>
          <w:bCs/>
          <w:sz w:val="28"/>
          <w:szCs w:val="28"/>
        </w:rPr>
      </w:pPr>
      <w:r>
        <w:drawing>
          <wp:inline distT="0" distB="0" distL="114300" distR="114300">
            <wp:extent cx="5244465" cy="8691245"/>
            <wp:effectExtent l="0" t="0" r="635" b="825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45"/>
                    <a:stretch>
                      <a:fillRect/>
                    </a:stretch>
                  </pic:blipFill>
                  <pic:spPr>
                    <a:xfrm>
                      <a:off x="0" y="0"/>
                      <a:ext cx="5244465" cy="8691245"/>
                    </a:xfrm>
                    <a:prstGeom prst="rect">
                      <a:avLst/>
                    </a:prstGeom>
                    <a:noFill/>
                    <a:ln>
                      <a:noFill/>
                    </a:ln>
                  </pic:spPr>
                </pic:pic>
              </a:graphicData>
            </a:graphic>
          </wp:inline>
        </w:drawing>
      </w:r>
    </w:p>
    <w:p>
      <w:pPr>
        <w:ind w:firstLine="0" w:firstLineChars="0"/>
        <w:rPr>
          <w:b/>
          <w:bCs/>
          <w:sz w:val="28"/>
          <w:szCs w:val="28"/>
        </w:rPr>
      </w:pPr>
      <w:r>
        <w:drawing>
          <wp:inline distT="0" distB="0" distL="114300" distR="114300">
            <wp:extent cx="5410200" cy="8692515"/>
            <wp:effectExtent l="0" t="0" r="0" b="698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6"/>
                    <a:stretch>
                      <a:fillRect/>
                    </a:stretch>
                  </pic:blipFill>
                  <pic:spPr>
                    <a:xfrm>
                      <a:off x="0" y="0"/>
                      <a:ext cx="5410200" cy="8692515"/>
                    </a:xfrm>
                    <a:prstGeom prst="rect">
                      <a:avLst/>
                    </a:prstGeom>
                    <a:noFill/>
                    <a:ln>
                      <a:noFill/>
                    </a:ln>
                  </pic:spPr>
                </pic:pic>
              </a:graphicData>
            </a:graphic>
          </wp:inline>
        </w:drawing>
      </w:r>
    </w:p>
    <w:p>
      <w:pPr>
        <w:ind w:firstLine="0" w:firstLineChars="0"/>
        <w:rPr>
          <w:b/>
          <w:bCs/>
          <w:sz w:val="28"/>
          <w:szCs w:val="28"/>
        </w:rPr>
      </w:pPr>
      <w:r>
        <w:drawing>
          <wp:inline distT="0" distB="0" distL="114300" distR="114300">
            <wp:extent cx="5264150" cy="8710930"/>
            <wp:effectExtent l="0" t="0" r="6350" b="127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7"/>
                    <a:stretch>
                      <a:fillRect/>
                    </a:stretch>
                  </pic:blipFill>
                  <pic:spPr>
                    <a:xfrm>
                      <a:off x="0" y="0"/>
                      <a:ext cx="5264150" cy="8710930"/>
                    </a:xfrm>
                    <a:prstGeom prst="rect">
                      <a:avLst/>
                    </a:prstGeom>
                    <a:noFill/>
                    <a:ln>
                      <a:noFill/>
                    </a:ln>
                  </pic:spPr>
                </pic:pic>
              </a:graphicData>
            </a:graphic>
          </wp:inline>
        </w:drawing>
      </w:r>
    </w:p>
    <w:p>
      <w:pPr>
        <w:ind w:firstLine="0" w:firstLineChars="0"/>
        <w:rPr>
          <w:b/>
          <w:bCs/>
          <w:sz w:val="28"/>
          <w:szCs w:val="28"/>
        </w:rPr>
      </w:pPr>
      <w:r>
        <w:drawing>
          <wp:inline distT="0" distB="0" distL="114300" distR="114300">
            <wp:extent cx="5499100" cy="8672195"/>
            <wp:effectExtent l="0" t="0" r="0" b="190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8"/>
                    <a:stretch>
                      <a:fillRect/>
                    </a:stretch>
                  </pic:blipFill>
                  <pic:spPr>
                    <a:xfrm>
                      <a:off x="0" y="0"/>
                      <a:ext cx="5499100" cy="8672195"/>
                    </a:xfrm>
                    <a:prstGeom prst="rect">
                      <a:avLst/>
                    </a:prstGeom>
                    <a:noFill/>
                    <a:ln>
                      <a:noFill/>
                    </a:ln>
                  </pic:spPr>
                </pic:pic>
              </a:graphicData>
            </a:graphic>
          </wp:inline>
        </w:drawing>
      </w:r>
    </w:p>
    <w:p>
      <w:pPr>
        <w:ind w:firstLine="0" w:firstLineChars="0"/>
        <w:rPr>
          <w:b/>
          <w:bCs/>
          <w:sz w:val="28"/>
          <w:szCs w:val="28"/>
        </w:rPr>
      </w:pPr>
    </w:p>
    <w:p>
      <w:pPr>
        <w:pStyle w:val="2"/>
        <w:rPr>
          <w:rFonts w:hint="eastAsia" w:eastAsia="宋体"/>
          <w:lang w:eastAsia="zh-CN"/>
        </w:rPr>
      </w:pPr>
      <w:r>
        <w:rPr>
          <w:rFonts w:hint="eastAsia" w:eastAsia="宋体"/>
          <w:lang w:eastAsia="zh-CN"/>
        </w:rPr>
        <w:drawing>
          <wp:inline distT="0" distB="0" distL="114300" distR="114300">
            <wp:extent cx="5269865" cy="7987665"/>
            <wp:effectExtent l="0" t="0" r="635" b="635"/>
            <wp:docPr id="15" name="图片 15" descr="CXJC20210802003油气回收监测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XJC20210802003油气回收监测报告_00"/>
                    <pic:cNvPicPr>
                      <a:picLocks noChangeAspect="1"/>
                    </pic:cNvPicPr>
                  </pic:nvPicPr>
                  <pic:blipFill>
                    <a:blip r:embed="rId49"/>
                    <a:stretch>
                      <a:fillRect/>
                    </a:stretch>
                  </pic:blipFill>
                  <pic:spPr>
                    <a:xfrm>
                      <a:off x="0" y="0"/>
                      <a:ext cx="5269865" cy="7987665"/>
                    </a:xfrm>
                    <a:prstGeom prst="rect">
                      <a:avLst/>
                    </a:prstGeom>
                  </pic:spPr>
                </pic:pic>
              </a:graphicData>
            </a:graphic>
          </wp:inline>
        </w:drawing>
      </w:r>
    </w:p>
    <w:p>
      <w:pPr>
        <w:pStyle w:val="2"/>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720715" cy="8128000"/>
            <wp:effectExtent l="0" t="0" r="6985" b="0"/>
            <wp:docPr id="19" name="图片 19" descr="CXJC20210802003油气回收监测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XJC20210802003油气回收监测报告_01"/>
                    <pic:cNvPicPr>
                      <a:picLocks noChangeAspect="1"/>
                    </pic:cNvPicPr>
                  </pic:nvPicPr>
                  <pic:blipFill>
                    <a:blip r:embed="rId50"/>
                    <a:stretch>
                      <a:fillRect/>
                    </a:stretch>
                  </pic:blipFill>
                  <pic:spPr>
                    <a:xfrm>
                      <a:off x="0" y="0"/>
                      <a:ext cx="5720715" cy="8128000"/>
                    </a:xfrm>
                    <a:prstGeom prst="rect">
                      <a:avLst/>
                    </a:prstGeom>
                  </pic:spPr>
                </pic:pic>
              </a:graphicData>
            </a:graphic>
          </wp:inline>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554980" cy="8305165"/>
            <wp:effectExtent l="0" t="0" r="7620" b="635"/>
            <wp:docPr id="21" name="图片 21" descr="CXJC20210802003油气回收监测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XJC20210802003油气回收监测报告_02"/>
                    <pic:cNvPicPr>
                      <a:picLocks noChangeAspect="1"/>
                    </pic:cNvPicPr>
                  </pic:nvPicPr>
                  <pic:blipFill>
                    <a:blip r:embed="rId51"/>
                    <a:stretch>
                      <a:fillRect/>
                    </a:stretch>
                  </pic:blipFill>
                  <pic:spPr>
                    <a:xfrm>
                      <a:off x="0" y="0"/>
                      <a:ext cx="5554980" cy="8305165"/>
                    </a:xfrm>
                    <a:prstGeom prst="rect">
                      <a:avLst/>
                    </a:prstGeom>
                  </pic:spPr>
                </pic:pic>
              </a:graphicData>
            </a:graphic>
          </wp:inline>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803265" cy="8312150"/>
            <wp:effectExtent l="0" t="0" r="635" b="6350"/>
            <wp:docPr id="24" name="图片 24" descr="CXJC20210802003油气回收监测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XJC20210802003油气回收监测报告_03"/>
                    <pic:cNvPicPr>
                      <a:picLocks noChangeAspect="1"/>
                    </pic:cNvPicPr>
                  </pic:nvPicPr>
                  <pic:blipFill>
                    <a:blip r:embed="rId52"/>
                    <a:stretch>
                      <a:fillRect/>
                    </a:stretch>
                  </pic:blipFill>
                  <pic:spPr>
                    <a:xfrm>
                      <a:off x="0" y="0"/>
                      <a:ext cx="5803265" cy="8312150"/>
                    </a:xfrm>
                    <a:prstGeom prst="rect">
                      <a:avLst/>
                    </a:prstGeom>
                  </pic:spPr>
                </pic:pic>
              </a:graphicData>
            </a:graphic>
          </wp:inline>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574665" cy="8286115"/>
            <wp:effectExtent l="0" t="0" r="635" b="6985"/>
            <wp:docPr id="26" name="图片 26" descr="CXJC20210802003油气回收监测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XJC20210802003油气回收监测报告_04"/>
                    <pic:cNvPicPr>
                      <a:picLocks noChangeAspect="1"/>
                    </pic:cNvPicPr>
                  </pic:nvPicPr>
                  <pic:blipFill>
                    <a:blip r:embed="rId53"/>
                    <a:stretch>
                      <a:fillRect/>
                    </a:stretch>
                  </pic:blipFill>
                  <pic:spPr>
                    <a:xfrm>
                      <a:off x="0" y="0"/>
                      <a:ext cx="5574665" cy="8286115"/>
                    </a:xfrm>
                    <a:prstGeom prst="rect">
                      <a:avLst/>
                    </a:prstGeom>
                  </pic:spPr>
                </pic:pic>
              </a:graphicData>
            </a:graphic>
          </wp:inline>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sectPr>
          <w:pgSz w:w="11906" w:h="16838"/>
          <w:pgMar w:top="1440" w:right="1800" w:bottom="1440" w:left="1800" w:header="851" w:footer="992" w:gutter="0"/>
          <w:pgNumType w:fmt="numberInDash"/>
          <w:cols w:space="720" w:num="1"/>
          <w:docGrid w:type="lines" w:linePitch="312" w:charSpace="0"/>
        </w:sectPr>
      </w:pPr>
      <w:bookmarkStart w:id="60" w:name="_GoBack"/>
      <w:r>
        <w:rPr>
          <w:rFonts w:hint="eastAsia" w:eastAsia="宋体"/>
          <w:lang w:eastAsia="zh-CN"/>
        </w:rPr>
        <w:drawing>
          <wp:inline distT="0" distB="0" distL="114300" distR="114300">
            <wp:extent cx="5269865" cy="7733665"/>
            <wp:effectExtent l="0" t="0" r="635" b="635"/>
            <wp:docPr id="28" name="图片 28" descr="20210922：关于危废处理的承诺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10922：关于危废处理的承诺函_00"/>
                    <pic:cNvPicPr>
                      <a:picLocks noChangeAspect="1"/>
                    </pic:cNvPicPr>
                  </pic:nvPicPr>
                  <pic:blipFill>
                    <a:blip r:embed="rId54"/>
                    <a:stretch>
                      <a:fillRect/>
                    </a:stretch>
                  </pic:blipFill>
                  <pic:spPr>
                    <a:xfrm>
                      <a:off x="0" y="0"/>
                      <a:ext cx="5269865" cy="7733665"/>
                    </a:xfrm>
                    <a:prstGeom prst="rect">
                      <a:avLst/>
                    </a:prstGeom>
                  </pic:spPr>
                </pic:pic>
              </a:graphicData>
            </a:graphic>
          </wp:inline>
        </w:drawing>
      </w:r>
      <w:bookmarkEnd w:id="60"/>
    </w:p>
    <w:p>
      <w:pPr>
        <w:ind w:firstLine="0" w:firstLineChars="0"/>
        <w:rPr>
          <w:b/>
          <w:bCs/>
          <w:sz w:val="28"/>
          <w:szCs w:val="28"/>
        </w:rPr>
      </w:pPr>
      <w:r>
        <w:rPr>
          <w:rFonts w:hint="eastAsia"/>
          <w:b/>
          <w:bCs/>
          <w:sz w:val="28"/>
          <w:szCs w:val="28"/>
        </w:rPr>
        <w:t>附图1：项目地理位置图</w:t>
      </w:r>
    </w:p>
    <w:p>
      <w:pPr>
        <w:ind w:firstLine="0" w:firstLineChars="0"/>
        <w:rPr>
          <w:b/>
          <w:bCs/>
          <w:sz w:val="28"/>
          <w:szCs w:val="28"/>
        </w:rPr>
      </w:pPr>
      <w:r>
        <w:drawing>
          <wp:inline distT="0" distB="0" distL="0" distR="0">
            <wp:extent cx="8863330" cy="47371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5"/>
                    <a:stretch>
                      <a:fillRect/>
                    </a:stretch>
                  </pic:blipFill>
                  <pic:spPr>
                    <a:xfrm>
                      <a:off x="0" y="0"/>
                      <a:ext cx="8863330" cy="4737100"/>
                    </a:xfrm>
                    <a:prstGeom prst="rect">
                      <a:avLst/>
                    </a:prstGeom>
                  </pic:spPr>
                </pic:pic>
              </a:graphicData>
            </a:graphic>
          </wp:inline>
        </w:drawing>
      </w:r>
    </w:p>
    <w:p>
      <w:pPr>
        <w:ind w:firstLine="0" w:firstLineChars="0"/>
        <w:rPr>
          <w:b/>
          <w:bCs/>
          <w:sz w:val="28"/>
          <w:szCs w:val="28"/>
        </w:rPr>
      </w:pPr>
      <w:r>
        <w:rPr>
          <w:rFonts w:hint="eastAsia"/>
          <w:b/>
          <w:bCs/>
          <w:sz w:val="28"/>
          <w:szCs w:val="28"/>
        </w:rPr>
        <w:t>附图2：项目周边关系图</w:t>
      </w:r>
    </w:p>
    <w:p>
      <w:pPr>
        <w:ind w:firstLine="0" w:firstLineChars="0"/>
        <w:rPr>
          <w:b/>
          <w:bCs/>
          <w:sz w:val="28"/>
          <w:szCs w:val="28"/>
        </w:rPr>
      </w:pPr>
      <w:r>
        <w:rPr>
          <w:b/>
          <w:bCs/>
          <w:sz w:val="28"/>
          <w:szCs w:val="28"/>
        </w:rPr>
        <w:drawing>
          <wp:inline distT="0" distB="0" distL="0" distR="0">
            <wp:extent cx="8826500" cy="4826000"/>
            <wp:effectExtent l="0" t="0" r="0" b="0"/>
            <wp:docPr id="2" name="图片 2" descr="F:\20210712：灵通横港物流园加油加气站验收\20210830：本项目地理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210712：灵通横港物流园加油加气站验收\20210830：本项目地理位置图.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826500" cy="4826000"/>
                    </a:xfrm>
                    <a:prstGeom prst="rect">
                      <a:avLst/>
                    </a:prstGeom>
                    <a:noFill/>
                    <a:ln>
                      <a:noFill/>
                    </a:ln>
                  </pic:spPr>
                </pic:pic>
              </a:graphicData>
            </a:graphic>
          </wp:inline>
        </w:drawing>
      </w:r>
    </w:p>
    <w:p>
      <w:pPr>
        <w:ind w:firstLine="0" w:firstLineChars="0"/>
        <w:rPr>
          <w:b/>
          <w:bCs/>
          <w:sz w:val="28"/>
          <w:szCs w:val="28"/>
        </w:rPr>
      </w:pPr>
      <w:r>
        <w:rPr>
          <w:rFonts w:hint="eastAsia"/>
          <w:b/>
          <w:bCs/>
          <w:sz w:val="28"/>
          <w:szCs w:val="28"/>
        </w:rPr>
        <w:t>附图3：项目总平面布置图</w:t>
      </w:r>
    </w:p>
    <w:p>
      <w:pPr>
        <w:ind w:firstLine="0" w:firstLineChars="0"/>
        <w:rPr>
          <w:b/>
          <w:bCs/>
          <w:sz w:val="28"/>
          <w:szCs w:val="28"/>
        </w:rPr>
      </w:pPr>
      <w:r>
        <w:drawing>
          <wp:inline distT="0" distB="0" distL="0" distR="0">
            <wp:extent cx="8864600" cy="46926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7"/>
                    <a:stretch>
                      <a:fillRect/>
                    </a:stretch>
                  </pic:blipFill>
                  <pic:spPr>
                    <a:xfrm>
                      <a:off x="0" y="0"/>
                      <a:ext cx="8864600" cy="4692650"/>
                    </a:xfrm>
                    <a:prstGeom prst="rect">
                      <a:avLst/>
                    </a:prstGeom>
                  </pic:spPr>
                </pic:pic>
              </a:graphicData>
            </a:graphic>
          </wp:inline>
        </w:drawing>
      </w:r>
    </w:p>
    <w:p>
      <w:pPr>
        <w:ind w:firstLine="0" w:firstLineChars="0"/>
        <w:rPr>
          <w:b/>
          <w:bCs/>
          <w:sz w:val="28"/>
          <w:szCs w:val="28"/>
        </w:rPr>
      </w:pPr>
      <w:r>
        <w:rPr>
          <w:rFonts w:hint="eastAsia"/>
          <w:b/>
          <w:bCs/>
          <w:sz w:val="28"/>
          <w:szCs w:val="28"/>
        </w:rPr>
        <w:t>附图4：项目与敏感点关系图</w:t>
      </w:r>
    </w:p>
    <w:p>
      <w:pPr>
        <w:ind w:firstLine="0" w:firstLineChars="0"/>
      </w:pPr>
      <w:r>
        <w:drawing>
          <wp:inline distT="0" distB="0" distL="0" distR="0">
            <wp:extent cx="8794750" cy="46101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8"/>
                    <a:stretch>
                      <a:fillRect/>
                    </a:stretch>
                  </pic:blipFill>
                  <pic:spPr>
                    <a:xfrm>
                      <a:off x="0" y="0"/>
                      <a:ext cx="8794750" cy="4610100"/>
                    </a:xfrm>
                    <a:prstGeom prst="rect">
                      <a:avLst/>
                    </a:prstGeom>
                  </pic:spPr>
                </pic:pic>
              </a:graphicData>
            </a:graphic>
          </wp:inline>
        </w:drawing>
      </w:r>
    </w:p>
    <w:p>
      <w:pPr>
        <w:pStyle w:val="6"/>
        <w:ind w:firstLine="562"/>
        <w:sectPr>
          <w:pgSz w:w="16838" w:h="11906" w:orient="landscape"/>
          <w:pgMar w:top="1803" w:right="1440" w:bottom="1803" w:left="1440" w:header="851" w:footer="992" w:gutter="0"/>
          <w:pgNumType w:fmt="numberInDash"/>
          <w:cols w:space="0" w:num="1"/>
          <w:docGrid w:type="lines" w:linePitch="332" w:charSpace="0"/>
        </w:sectPr>
      </w:pPr>
    </w:p>
    <w:p>
      <w:pPr>
        <w:ind w:firstLine="0" w:firstLineChars="0"/>
        <w:jc w:val="center"/>
      </w:pPr>
      <w:r>
        <w:rPr>
          <w:rFonts w:hint="eastAsia"/>
          <w:b/>
          <w:bCs/>
          <w:sz w:val="28"/>
          <w:szCs w:val="28"/>
        </w:rPr>
        <w:t>其他需要说明的事项</w:t>
      </w:r>
    </w:p>
    <w:p>
      <w:pPr>
        <w:pStyle w:val="14"/>
        <w:jc w:val="center"/>
        <w:rPr>
          <w:b/>
          <w:bCs/>
        </w:rPr>
      </w:pPr>
    </w:p>
    <w:p>
      <w:pPr>
        <w:pStyle w:val="14"/>
        <w:jc w:val="center"/>
        <w:rPr>
          <w:b/>
          <w:bCs/>
        </w:rPr>
      </w:pPr>
    </w:p>
    <w:p>
      <w:pPr>
        <w:ind w:firstLine="480"/>
      </w:pPr>
      <w:r>
        <w:rPr>
          <w:rFonts w:hint="eastAsia"/>
        </w:rPr>
        <w:t>根据环保部发布的《建设项目竣工环境保护验收暂行办法》</w:t>
      </w:r>
      <w:r>
        <w:t>(2017</w:t>
      </w:r>
      <w:r>
        <w:rPr>
          <w:rFonts w:hint="eastAsia"/>
        </w:rPr>
        <w:t>年</w:t>
      </w:r>
      <w:r>
        <w:t>11</w:t>
      </w:r>
      <w:r>
        <w:rPr>
          <w:rFonts w:hint="eastAsia"/>
        </w:rPr>
        <w:t>月</w:t>
      </w:r>
      <w:r>
        <w:t>20</w:t>
      </w:r>
      <w:r>
        <w:rPr>
          <w:rFonts w:hint="eastAsia"/>
        </w:rPr>
        <w:t>日</w:t>
      </w:r>
      <w:r>
        <w:t>)</w:t>
      </w:r>
      <w:r>
        <w:rPr>
          <w:rFonts w:hint="eastAsia"/>
        </w:rPr>
        <w:t>中第八条规定</w:t>
      </w:r>
      <w:r>
        <w:t>，</w:t>
      </w:r>
      <w:r>
        <w:rPr>
          <w:rFonts w:hint="eastAsia"/>
        </w:rPr>
        <w:t>本项目不属于以下情形</w:t>
      </w:r>
      <w:r>
        <w:t>：</w:t>
      </w:r>
    </w:p>
    <w:p>
      <w:pPr>
        <w:numPr>
          <w:ilvl w:val="0"/>
          <w:numId w:val="12"/>
        </w:numPr>
        <w:ind w:firstLine="480"/>
      </w:pPr>
      <w:r>
        <w:rPr>
          <w:rFonts w:hint="eastAsia"/>
        </w:rPr>
        <w:t>未按环境影响报告书</w:t>
      </w:r>
      <w:r>
        <w:t>(</w:t>
      </w:r>
      <w:r>
        <w:rPr>
          <w:rFonts w:hint="eastAsia"/>
        </w:rPr>
        <w:t>表</w:t>
      </w:r>
      <w:r>
        <w:t>)</w:t>
      </w:r>
      <w:r>
        <w:rPr>
          <w:rFonts w:hint="eastAsia"/>
        </w:rPr>
        <w:t>及其审批部门审批决定要求建成环境保护设施</w:t>
      </w:r>
      <w:r>
        <w:t>，</w:t>
      </w:r>
      <w:r>
        <w:rPr>
          <w:rFonts w:hint="eastAsia"/>
        </w:rPr>
        <w:t>或者环境保护设施不能与主体工程同时投产或者使用的</w:t>
      </w:r>
      <w:r>
        <w:t>；</w:t>
      </w:r>
    </w:p>
    <w:p>
      <w:pPr>
        <w:numPr>
          <w:ilvl w:val="0"/>
          <w:numId w:val="12"/>
        </w:numPr>
        <w:ind w:firstLine="480"/>
      </w:pPr>
      <w:r>
        <w:rPr>
          <w:rFonts w:hint="eastAsia"/>
        </w:rPr>
        <w:t>污染物排放不符合国家和地方相关标准､环境影响报告书</w:t>
      </w:r>
      <w:r>
        <w:t>(</w:t>
      </w:r>
      <w:r>
        <w:rPr>
          <w:rFonts w:hint="eastAsia"/>
        </w:rPr>
        <w:t>表</w:t>
      </w:r>
      <w:r>
        <w:t>)</w:t>
      </w:r>
      <w:r>
        <w:rPr>
          <w:rFonts w:hint="eastAsia"/>
        </w:rPr>
        <w:t>及其审批部门审批决定或者重点污染物排放总量控制指标要求的</w:t>
      </w:r>
      <w:r>
        <w:t>；</w:t>
      </w:r>
    </w:p>
    <w:p>
      <w:pPr>
        <w:numPr>
          <w:ilvl w:val="0"/>
          <w:numId w:val="12"/>
        </w:numPr>
        <w:ind w:firstLine="480"/>
      </w:pPr>
      <w:r>
        <w:rPr>
          <w:rFonts w:hint="eastAsia"/>
        </w:rPr>
        <w:t>环境影响报告书</w:t>
      </w:r>
      <w:r>
        <w:t>(</w:t>
      </w:r>
      <w:r>
        <w:rPr>
          <w:rFonts w:hint="eastAsia"/>
        </w:rPr>
        <w:t>表</w:t>
      </w:r>
      <w:r>
        <w:t>)</w:t>
      </w:r>
      <w:r>
        <w:rPr>
          <w:rFonts w:hint="eastAsia"/>
        </w:rPr>
        <w:t>经批准后</w:t>
      </w:r>
      <w:r>
        <w:t>，</w:t>
      </w:r>
      <w:r>
        <w:rPr>
          <w:rFonts w:hint="eastAsia"/>
        </w:rPr>
        <w:t>该建设项目的性质､规模､地点､采用的生产工艺或者防治污染､防止生态破坏的措施发生重大变动</w:t>
      </w:r>
      <w:r>
        <w:t>，</w:t>
      </w:r>
      <w:r>
        <w:rPr>
          <w:rFonts w:hint="eastAsia"/>
        </w:rPr>
        <w:t>建设单位未重新报批环境影响报告书</w:t>
      </w:r>
      <w:r>
        <w:t>(</w:t>
      </w:r>
      <w:r>
        <w:rPr>
          <w:rFonts w:hint="eastAsia"/>
        </w:rPr>
        <w:t>表</w:t>
      </w:r>
      <w:r>
        <w:t>)</w:t>
      </w:r>
      <w:r>
        <w:rPr>
          <w:rFonts w:hint="eastAsia"/>
        </w:rPr>
        <w:t>或者环境影响报告书</w:t>
      </w:r>
      <w:r>
        <w:t>(</w:t>
      </w:r>
      <w:r>
        <w:rPr>
          <w:rFonts w:hint="eastAsia"/>
        </w:rPr>
        <w:t>表</w:t>
      </w:r>
      <w:r>
        <w:t>)</w:t>
      </w:r>
      <w:r>
        <w:rPr>
          <w:rFonts w:hint="eastAsia"/>
        </w:rPr>
        <w:t>未经批准的</w:t>
      </w:r>
      <w:r>
        <w:t>；</w:t>
      </w:r>
    </w:p>
    <w:p>
      <w:pPr>
        <w:numPr>
          <w:ilvl w:val="0"/>
          <w:numId w:val="12"/>
        </w:numPr>
        <w:ind w:firstLine="480"/>
      </w:pPr>
      <w:r>
        <w:rPr>
          <w:rFonts w:hint="eastAsia"/>
        </w:rPr>
        <w:t>建设过程中造成重大环境污染未治理完成</w:t>
      </w:r>
      <w:r>
        <w:t>，</w:t>
      </w:r>
      <w:r>
        <w:rPr>
          <w:rFonts w:hint="eastAsia"/>
        </w:rPr>
        <w:t>或者造成重大生态破坏未恢复的</w:t>
      </w:r>
      <w:r>
        <w:t>；</w:t>
      </w:r>
    </w:p>
    <w:p>
      <w:pPr>
        <w:numPr>
          <w:ilvl w:val="0"/>
          <w:numId w:val="12"/>
        </w:numPr>
        <w:ind w:firstLine="480"/>
      </w:pPr>
      <w:r>
        <w:rPr>
          <w:rFonts w:hint="eastAsia"/>
        </w:rPr>
        <w:t>纳入排污许可管理的建设项目</w:t>
      </w:r>
      <w:r>
        <w:t>，</w:t>
      </w:r>
      <w:r>
        <w:rPr>
          <w:rFonts w:hint="eastAsia"/>
        </w:rPr>
        <w:t>无证排污或者不按证排污的</w:t>
      </w:r>
      <w:r>
        <w:t>；</w:t>
      </w:r>
    </w:p>
    <w:p>
      <w:pPr>
        <w:numPr>
          <w:ilvl w:val="0"/>
          <w:numId w:val="12"/>
        </w:numPr>
        <w:ind w:firstLine="480"/>
      </w:pPr>
      <w:r>
        <w:rPr>
          <w:rFonts w:hint="eastAsia"/>
        </w:rPr>
        <w:t>分期建设､分期投入生产或者使用依法应当分期验收的建设项目</w:t>
      </w:r>
      <w:r>
        <w:t>，</w:t>
      </w:r>
      <w:r>
        <w:rPr>
          <w:rFonts w:hint="eastAsia"/>
        </w:rPr>
        <w:t>其分期建设､分期投入生产或者使用的环境保护设施防治环境污染和生态破坏的能力不能满足其相应主体工程需要的</w:t>
      </w:r>
      <w:r>
        <w:t>；</w:t>
      </w:r>
    </w:p>
    <w:p>
      <w:pPr>
        <w:numPr>
          <w:ilvl w:val="0"/>
          <w:numId w:val="12"/>
        </w:numPr>
        <w:ind w:firstLine="480"/>
      </w:pPr>
      <w:r>
        <w:rPr>
          <w:rFonts w:hint="eastAsia"/>
        </w:rPr>
        <w:t>建设单位因该建设项目违反国家和地方环境保护法律法规受到处罚</w:t>
      </w:r>
      <w:r>
        <w:t>，</w:t>
      </w:r>
      <w:r>
        <w:rPr>
          <w:rFonts w:hint="eastAsia"/>
        </w:rPr>
        <w:t>被责令改正</w:t>
      </w:r>
      <w:r>
        <w:t>，</w:t>
      </w:r>
      <w:r>
        <w:rPr>
          <w:rFonts w:hint="eastAsia"/>
        </w:rPr>
        <w:t>尚未改正完成的</w:t>
      </w:r>
      <w:r>
        <w:t>；</w:t>
      </w:r>
    </w:p>
    <w:p>
      <w:pPr>
        <w:numPr>
          <w:ilvl w:val="0"/>
          <w:numId w:val="12"/>
        </w:numPr>
        <w:ind w:firstLine="480"/>
      </w:pPr>
      <w:r>
        <w:rPr>
          <w:rFonts w:hint="eastAsia"/>
        </w:rPr>
        <w:t>验收报告的基础资料数据明显不实</w:t>
      </w:r>
      <w:r>
        <w:t>，</w:t>
      </w:r>
      <w:r>
        <w:rPr>
          <w:rFonts w:hint="eastAsia"/>
        </w:rPr>
        <w:t>内容存在重大缺项､遗漏</w:t>
      </w:r>
      <w:r>
        <w:t>，</w:t>
      </w:r>
      <w:r>
        <w:rPr>
          <w:rFonts w:hint="eastAsia"/>
        </w:rPr>
        <w:t>或者验收结论不明确､不合理的</w:t>
      </w:r>
      <w:r>
        <w:t>；</w:t>
      </w:r>
    </w:p>
    <w:p>
      <w:pPr>
        <w:numPr>
          <w:ilvl w:val="0"/>
          <w:numId w:val="12"/>
        </w:numPr>
        <w:ind w:firstLine="480"/>
      </w:pPr>
      <w:r>
        <w:rPr>
          <w:rFonts w:hint="eastAsia"/>
        </w:rPr>
        <w:t>其他环境保护法律法规规章等规定不得通过环境保护验收的｡</w:t>
      </w:r>
    </w:p>
    <w:p>
      <w:pPr>
        <w:pStyle w:val="14"/>
        <w:rPr>
          <w:b/>
          <w:bCs/>
        </w:rPr>
      </w:pPr>
    </w:p>
    <w:sectPr>
      <w:pgSz w:w="11906" w:h="16838"/>
      <w:pgMar w:top="1440" w:right="1803" w:bottom="1440" w:left="1803" w:header="851" w:footer="992" w:gutter="0"/>
      <w:pgNumType w:fmt="numberInDash"/>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CorpoS">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IVSQSF+ËÎÌå">
    <w:altName w:val="Microsoft Sans Serif"/>
    <w:panose1 w:val="00000000000000000000"/>
    <w:charset w:val="01"/>
    <w:family w:val="auto"/>
    <w:pitch w:val="default"/>
    <w:sig w:usb0="00000000" w:usb1="00000000" w:usb2="01010101" w:usb3="01010101" w:csb0="01010101" w:csb1="01010101"/>
  </w:font>
  <w:font w:name="TimesNewRomanPSMT">
    <w:altName w:val="Times New Roman"/>
    <w:panose1 w:val="00000000000000000000"/>
    <w:charset w:val="80"/>
    <w:family w:val="auto"/>
    <w:pitch w:val="default"/>
    <w:sig w:usb0="00000000" w:usb1="00000000" w:usb2="00000000" w:usb3="00000000" w:csb0="00020000" w:csb1="00000000"/>
  </w:font>
  <w:font w:name="F4">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OCXUczAEAAJcDAAAOAAAAAAAAAAEAIAAAAB4BAABkcnMvZTJv&#10;RG9jLnhtbFBLBQYAAAAABgAGAFkBAABcBQAAAAA=&#10;">
              <v:fill on="f" focussize="0,0"/>
              <v:stroke on="f"/>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- 26 -</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sSei6zAEAAJcDAAAOAAAAAAAAAAEAIAAAAB4BAABkcnMvZTJv&#10;RG9jLnhtbFBLBQYAAAAABgAGAFkBAABcBQAAAAA=&#10;">
              <v:fill on="f" focussize="0,0"/>
              <v:stroke on="f"/>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- 26 -</w:t>
                    </w:r>
                    <w:r>
                      <w:rPr>
                        <w:rFonts w:hint="eastAsia"/>
                      </w:rPr>
                      <w:fldChar w:fldCharType="end"/>
                    </w:r>
                  </w:p>
                </w:txbxContent>
              </v:textbox>
            </v:shape>
          </w:pict>
        </mc:Fallback>
      </mc:AlternateContent>
    </w:r>
    <w:r>
      <w:rPr>
        <w:rFonts w:hint="eastAsia"/>
      </w:rPr>
      <w:t>安徽灵通清洁能源股份有限公司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0" w:firstLineChars="0"/>
    </w:pPr>
    <w:r>
      <w:rPr>
        <w:rFonts w:hint="eastAsia"/>
        <w:b/>
        <w:bCs/>
      </w:rPr>
      <w:t>横港物流园L</w:t>
    </w:r>
    <w:r>
      <w:rPr>
        <w:b/>
        <w:bCs/>
      </w:rPr>
      <w:t>-CNG</w:t>
    </w:r>
    <w:r>
      <w:rPr>
        <w:rFonts w:hint="eastAsia"/>
        <w:b/>
        <w:bCs/>
      </w:rPr>
      <w:t>油气合建站项目竣工环境保护验收监测报告表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DA618D"/>
    <w:multiLevelType w:val="singleLevel"/>
    <w:tmpl w:val="A0DA618D"/>
    <w:lvl w:ilvl="0" w:tentative="0">
      <w:start w:val="1"/>
      <w:numFmt w:val="decimal"/>
      <w:lvlText w:val="%1."/>
      <w:lvlJc w:val="left"/>
      <w:pPr>
        <w:tabs>
          <w:tab w:val="left" w:pos="312"/>
        </w:tabs>
        <w:ind w:left="600" w:firstLine="0"/>
      </w:pPr>
    </w:lvl>
  </w:abstractNum>
  <w:abstractNum w:abstractNumId="1">
    <w:nsid w:val="F16141F6"/>
    <w:multiLevelType w:val="singleLevel"/>
    <w:tmpl w:val="F16141F6"/>
    <w:lvl w:ilvl="0" w:tentative="0">
      <w:start w:val="1"/>
      <w:numFmt w:val="decimal"/>
      <w:suff w:val="space"/>
      <w:lvlText w:val="%1."/>
      <w:lvlJc w:val="left"/>
    </w:lvl>
  </w:abstractNum>
  <w:abstractNum w:abstractNumId="2">
    <w:nsid w:val="F3CA3E91"/>
    <w:multiLevelType w:val="singleLevel"/>
    <w:tmpl w:val="F3CA3E91"/>
    <w:lvl w:ilvl="0" w:tentative="0">
      <w:start w:val="1"/>
      <w:numFmt w:val="decimal"/>
      <w:suff w:val="nothing"/>
      <w:lvlText w:val="（%1）"/>
      <w:lvlJc w:val="left"/>
    </w:lvl>
  </w:abstractNum>
  <w:abstractNum w:abstractNumId="3">
    <w:nsid w:val="FC6FC15B"/>
    <w:multiLevelType w:val="singleLevel"/>
    <w:tmpl w:val="FC6FC15B"/>
    <w:lvl w:ilvl="0" w:tentative="0">
      <w:start w:val="1"/>
      <w:numFmt w:val="decimal"/>
      <w:suff w:val="space"/>
      <w:lvlText w:val="（%1）"/>
      <w:lvlJc w:val="left"/>
    </w:lvl>
  </w:abstractNum>
  <w:abstractNum w:abstractNumId="4">
    <w:nsid w:val="16207A4D"/>
    <w:multiLevelType w:val="multilevel"/>
    <w:tmpl w:val="16207A4D"/>
    <w:lvl w:ilvl="0" w:tentative="0">
      <w:start w:val="1"/>
      <w:numFmt w:val="decimalEnclosedParen"/>
      <w:lvlText w:val="%1"/>
      <w:lvlJc w:val="left"/>
      <w:pPr>
        <w:ind w:left="840" w:hanging="360"/>
      </w:pPr>
      <w:rPr>
        <w:rFonts w:hint="default" w:ascii="Times New Roman" w:hAnsi="Times New Roman"/>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3B63050"/>
    <w:multiLevelType w:val="multilevel"/>
    <w:tmpl w:val="23B63050"/>
    <w:lvl w:ilvl="0" w:tentative="0">
      <w:start w:val="1"/>
      <w:numFmt w:val="decimalEnclosedCircle"/>
      <w:lvlText w:val="%1"/>
      <w:lvlJc w:val="left"/>
      <w:pPr>
        <w:ind w:left="600" w:hanging="360"/>
      </w:pPr>
      <w:rPr>
        <w:rFonts w:hint="default"/>
      </w:rPr>
    </w:lvl>
    <w:lvl w:ilvl="1" w:tentative="0">
      <w:start w:val="2"/>
      <w:numFmt w:val="decimalEnclosedParen"/>
      <w:lvlText w:val="%2"/>
      <w:lvlJc w:val="left"/>
      <w:pPr>
        <w:ind w:left="1020" w:hanging="360"/>
      </w:pPr>
      <w:rPr>
        <w:rFonts w:hint="default"/>
      </w:r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6">
    <w:nsid w:val="2C10265F"/>
    <w:multiLevelType w:val="multilevel"/>
    <w:tmpl w:val="2C10265F"/>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29C1833"/>
    <w:multiLevelType w:val="singleLevel"/>
    <w:tmpl w:val="429C1833"/>
    <w:lvl w:ilvl="0" w:tentative="0">
      <w:start w:val="1"/>
      <w:numFmt w:val="bullet"/>
      <w:pStyle w:val="9"/>
      <w:lvlText w:val=""/>
      <w:lvlJc w:val="left"/>
      <w:pPr>
        <w:tabs>
          <w:tab w:val="left" w:pos="360"/>
        </w:tabs>
        <w:ind w:left="360" w:hanging="360"/>
      </w:pPr>
      <w:rPr>
        <w:rFonts w:hint="default" w:ascii="Wingdings" w:hAnsi="Wingdings"/>
      </w:rPr>
    </w:lvl>
  </w:abstractNum>
  <w:abstractNum w:abstractNumId="8">
    <w:nsid w:val="5885C2AA"/>
    <w:multiLevelType w:val="singleLevel"/>
    <w:tmpl w:val="5885C2AA"/>
    <w:lvl w:ilvl="0" w:tentative="0">
      <w:start w:val="1"/>
      <w:numFmt w:val="decimal"/>
      <w:suff w:val="space"/>
      <w:lvlText w:val="(%1)"/>
      <w:lvlJc w:val="left"/>
    </w:lvl>
  </w:abstractNum>
  <w:abstractNum w:abstractNumId="9">
    <w:nsid w:val="59DF1924"/>
    <w:multiLevelType w:val="singleLevel"/>
    <w:tmpl w:val="59DF1924"/>
    <w:lvl w:ilvl="0" w:tentative="0">
      <w:start w:val="3"/>
      <w:numFmt w:val="decimal"/>
      <w:suff w:val="nothing"/>
      <w:lvlText w:val="%1、"/>
      <w:lvlJc w:val="left"/>
    </w:lvl>
  </w:abstractNum>
  <w:abstractNum w:abstractNumId="10">
    <w:nsid w:val="5DD9EFD4"/>
    <w:multiLevelType w:val="singleLevel"/>
    <w:tmpl w:val="5DD9EFD4"/>
    <w:lvl w:ilvl="0" w:tentative="0">
      <w:start w:val="2"/>
      <w:numFmt w:val="decimal"/>
      <w:suff w:val="nothing"/>
      <w:lvlText w:val="%1、"/>
      <w:lvlJc w:val="left"/>
    </w:lvl>
  </w:abstractNum>
  <w:abstractNum w:abstractNumId="11">
    <w:nsid w:val="6A6D1DF7"/>
    <w:multiLevelType w:val="multilevel"/>
    <w:tmpl w:val="6A6D1DF7"/>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8"/>
  </w:num>
  <w:num w:numId="3">
    <w:abstractNumId w:val="3"/>
  </w:num>
  <w:num w:numId="4">
    <w:abstractNumId w:val="9"/>
  </w:num>
  <w:num w:numId="5">
    <w:abstractNumId w:val="11"/>
  </w:num>
  <w:num w:numId="6">
    <w:abstractNumId w:val="4"/>
  </w:num>
  <w:num w:numId="7">
    <w:abstractNumId w:val="5"/>
  </w:num>
  <w:num w:numId="8">
    <w:abstractNumId w:val="6"/>
  </w:num>
  <w:num w:numId="9">
    <w:abstractNumId w:val="0"/>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7A1C"/>
    <w:rsid w:val="00066D4F"/>
    <w:rsid w:val="000744CE"/>
    <w:rsid w:val="00080B84"/>
    <w:rsid w:val="0009202E"/>
    <w:rsid w:val="000A5D2C"/>
    <w:rsid w:val="000B0744"/>
    <w:rsid w:val="000B5B11"/>
    <w:rsid w:val="000C02BE"/>
    <w:rsid w:val="000C6BCD"/>
    <w:rsid w:val="000D4E84"/>
    <w:rsid w:val="000E32EB"/>
    <w:rsid w:val="000E3573"/>
    <w:rsid w:val="000F2F50"/>
    <w:rsid w:val="00104F97"/>
    <w:rsid w:val="001137EA"/>
    <w:rsid w:val="001272C5"/>
    <w:rsid w:val="0013619A"/>
    <w:rsid w:val="00140FA1"/>
    <w:rsid w:val="00166628"/>
    <w:rsid w:val="00172A27"/>
    <w:rsid w:val="001742EC"/>
    <w:rsid w:val="0018334C"/>
    <w:rsid w:val="00195790"/>
    <w:rsid w:val="001A3CDB"/>
    <w:rsid w:val="001B03B2"/>
    <w:rsid w:val="001B0FBC"/>
    <w:rsid w:val="001B7FC3"/>
    <w:rsid w:val="001C254C"/>
    <w:rsid w:val="001C262A"/>
    <w:rsid w:val="001E2E49"/>
    <w:rsid w:val="001E5C76"/>
    <w:rsid w:val="001E7DDC"/>
    <w:rsid w:val="001F6C38"/>
    <w:rsid w:val="00205C93"/>
    <w:rsid w:val="00207E3B"/>
    <w:rsid w:val="00224D24"/>
    <w:rsid w:val="00255331"/>
    <w:rsid w:val="00260294"/>
    <w:rsid w:val="00261ED2"/>
    <w:rsid w:val="00270254"/>
    <w:rsid w:val="00283DE3"/>
    <w:rsid w:val="00284664"/>
    <w:rsid w:val="002974FE"/>
    <w:rsid w:val="002B38A0"/>
    <w:rsid w:val="002C22C2"/>
    <w:rsid w:val="002D150E"/>
    <w:rsid w:val="002F78D4"/>
    <w:rsid w:val="00306EA2"/>
    <w:rsid w:val="00316C0B"/>
    <w:rsid w:val="00365A37"/>
    <w:rsid w:val="003709AF"/>
    <w:rsid w:val="003B4E0E"/>
    <w:rsid w:val="003B4F5A"/>
    <w:rsid w:val="003C1983"/>
    <w:rsid w:val="003C7228"/>
    <w:rsid w:val="003D2403"/>
    <w:rsid w:val="003E378B"/>
    <w:rsid w:val="003F047A"/>
    <w:rsid w:val="004010F7"/>
    <w:rsid w:val="00443897"/>
    <w:rsid w:val="0045347B"/>
    <w:rsid w:val="00461271"/>
    <w:rsid w:val="00475355"/>
    <w:rsid w:val="004929C1"/>
    <w:rsid w:val="004A5D7F"/>
    <w:rsid w:val="004A6A9D"/>
    <w:rsid w:val="004B78BD"/>
    <w:rsid w:val="004C0305"/>
    <w:rsid w:val="004C450F"/>
    <w:rsid w:val="004E6154"/>
    <w:rsid w:val="004E730F"/>
    <w:rsid w:val="004F61E2"/>
    <w:rsid w:val="00501D74"/>
    <w:rsid w:val="005205A8"/>
    <w:rsid w:val="00537F39"/>
    <w:rsid w:val="00560073"/>
    <w:rsid w:val="005671AF"/>
    <w:rsid w:val="00567327"/>
    <w:rsid w:val="005852E9"/>
    <w:rsid w:val="00592671"/>
    <w:rsid w:val="005B7ED1"/>
    <w:rsid w:val="005C60DE"/>
    <w:rsid w:val="005D1D79"/>
    <w:rsid w:val="005E5097"/>
    <w:rsid w:val="006168E3"/>
    <w:rsid w:val="00626BBC"/>
    <w:rsid w:val="006345C3"/>
    <w:rsid w:val="006550BC"/>
    <w:rsid w:val="006655D5"/>
    <w:rsid w:val="00682934"/>
    <w:rsid w:val="006945D7"/>
    <w:rsid w:val="006A429E"/>
    <w:rsid w:val="006C2F61"/>
    <w:rsid w:val="006E15D1"/>
    <w:rsid w:val="006E6700"/>
    <w:rsid w:val="007207BA"/>
    <w:rsid w:val="007240BF"/>
    <w:rsid w:val="007334FD"/>
    <w:rsid w:val="00733B95"/>
    <w:rsid w:val="007343EE"/>
    <w:rsid w:val="00775AC0"/>
    <w:rsid w:val="00781746"/>
    <w:rsid w:val="007A3CF5"/>
    <w:rsid w:val="007B0F83"/>
    <w:rsid w:val="007B45DA"/>
    <w:rsid w:val="007B6C36"/>
    <w:rsid w:val="007D3EDF"/>
    <w:rsid w:val="007D6720"/>
    <w:rsid w:val="007E33EF"/>
    <w:rsid w:val="008079C2"/>
    <w:rsid w:val="00825EBC"/>
    <w:rsid w:val="00833686"/>
    <w:rsid w:val="00834EED"/>
    <w:rsid w:val="00835A65"/>
    <w:rsid w:val="00837B39"/>
    <w:rsid w:val="00840F80"/>
    <w:rsid w:val="00842812"/>
    <w:rsid w:val="008603F4"/>
    <w:rsid w:val="00871022"/>
    <w:rsid w:val="00880C17"/>
    <w:rsid w:val="00885DAB"/>
    <w:rsid w:val="00887C44"/>
    <w:rsid w:val="00891558"/>
    <w:rsid w:val="0089376F"/>
    <w:rsid w:val="008945A1"/>
    <w:rsid w:val="008A4F3A"/>
    <w:rsid w:val="008C1518"/>
    <w:rsid w:val="008C1E47"/>
    <w:rsid w:val="008D5E64"/>
    <w:rsid w:val="008F7CAA"/>
    <w:rsid w:val="00901E1C"/>
    <w:rsid w:val="0090333C"/>
    <w:rsid w:val="00924122"/>
    <w:rsid w:val="009522F0"/>
    <w:rsid w:val="00972980"/>
    <w:rsid w:val="00972E77"/>
    <w:rsid w:val="009A55B6"/>
    <w:rsid w:val="009B1639"/>
    <w:rsid w:val="009B16FA"/>
    <w:rsid w:val="009C3074"/>
    <w:rsid w:val="009D17A4"/>
    <w:rsid w:val="009D28D7"/>
    <w:rsid w:val="009D320A"/>
    <w:rsid w:val="009E5134"/>
    <w:rsid w:val="009F71AF"/>
    <w:rsid w:val="00A11077"/>
    <w:rsid w:val="00A23CD0"/>
    <w:rsid w:val="00A33171"/>
    <w:rsid w:val="00A45D6B"/>
    <w:rsid w:val="00A76009"/>
    <w:rsid w:val="00A84220"/>
    <w:rsid w:val="00AA377B"/>
    <w:rsid w:val="00AA4A7E"/>
    <w:rsid w:val="00AA7D2B"/>
    <w:rsid w:val="00AC11C2"/>
    <w:rsid w:val="00AC2D4A"/>
    <w:rsid w:val="00AE727D"/>
    <w:rsid w:val="00AF3D63"/>
    <w:rsid w:val="00AF60C3"/>
    <w:rsid w:val="00B021D6"/>
    <w:rsid w:val="00B1500E"/>
    <w:rsid w:val="00B22B8F"/>
    <w:rsid w:val="00B52505"/>
    <w:rsid w:val="00B57328"/>
    <w:rsid w:val="00B64F9D"/>
    <w:rsid w:val="00B71F45"/>
    <w:rsid w:val="00B7493D"/>
    <w:rsid w:val="00B857CE"/>
    <w:rsid w:val="00BA3C67"/>
    <w:rsid w:val="00BA5267"/>
    <w:rsid w:val="00BC1A8F"/>
    <w:rsid w:val="00BC542D"/>
    <w:rsid w:val="00BD5A69"/>
    <w:rsid w:val="00BD765B"/>
    <w:rsid w:val="00BE79A7"/>
    <w:rsid w:val="00BF557A"/>
    <w:rsid w:val="00C0720E"/>
    <w:rsid w:val="00C206C4"/>
    <w:rsid w:val="00C3517C"/>
    <w:rsid w:val="00C37B0B"/>
    <w:rsid w:val="00C569F1"/>
    <w:rsid w:val="00C610CE"/>
    <w:rsid w:val="00C666A2"/>
    <w:rsid w:val="00C744C1"/>
    <w:rsid w:val="00C76A7A"/>
    <w:rsid w:val="00C901D8"/>
    <w:rsid w:val="00CA618D"/>
    <w:rsid w:val="00CA7459"/>
    <w:rsid w:val="00CD19AF"/>
    <w:rsid w:val="00D02558"/>
    <w:rsid w:val="00D074FE"/>
    <w:rsid w:val="00D174EC"/>
    <w:rsid w:val="00D20B85"/>
    <w:rsid w:val="00D239AE"/>
    <w:rsid w:val="00D23E52"/>
    <w:rsid w:val="00D27125"/>
    <w:rsid w:val="00D60ED3"/>
    <w:rsid w:val="00D65F28"/>
    <w:rsid w:val="00D77D61"/>
    <w:rsid w:val="00DA1D8B"/>
    <w:rsid w:val="00DA42D0"/>
    <w:rsid w:val="00DA48AE"/>
    <w:rsid w:val="00DB55A4"/>
    <w:rsid w:val="00DC1F40"/>
    <w:rsid w:val="00DD52CF"/>
    <w:rsid w:val="00DD565B"/>
    <w:rsid w:val="00DE54A0"/>
    <w:rsid w:val="00DF131B"/>
    <w:rsid w:val="00DF7CC5"/>
    <w:rsid w:val="00E00E9B"/>
    <w:rsid w:val="00E16F4A"/>
    <w:rsid w:val="00E16FD8"/>
    <w:rsid w:val="00E42A74"/>
    <w:rsid w:val="00E54610"/>
    <w:rsid w:val="00E66A21"/>
    <w:rsid w:val="00E71F71"/>
    <w:rsid w:val="00EA7255"/>
    <w:rsid w:val="00EB00A6"/>
    <w:rsid w:val="00EB2F5A"/>
    <w:rsid w:val="00EC009D"/>
    <w:rsid w:val="00EC0517"/>
    <w:rsid w:val="00EF45EF"/>
    <w:rsid w:val="00EF74B3"/>
    <w:rsid w:val="00F12B09"/>
    <w:rsid w:val="00F179B0"/>
    <w:rsid w:val="00F22224"/>
    <w:rsid w:val="00F51369"/>
    <w:rsid w:val="00F51A16"/>
    <w:rsid w:val="00F53405"/>
    <w:rsid w:val="00F74497"/>
    <w:rsid w:val="00F93B47"/>
    <w:rsid w:val="00FA465F"/>
    <w:rsid w:val="00FB00DA"/>
    <w:rsid w:val="00FB2074"/>
    <w:rsid w:val="00FB30AA"/>
    <w:rsid w:val="00FB30F6"/>
    <w:rsid w:val="00FC1A5F"/>
    <w:rsid w:val="00FC5CC1"/>
    <w:rsid w:val="00FD1D50"/>
    <w:rsid w:val="00FF0381"/>
    <w:rsid w:val="0103558C"/>
    <w:rsid w:val="010D0028"/>
    <w:rsid w:val="010D4C4B"/>
    <w:rsid w:val="01164D68"/>
    <w:rsid w:val="01172AC6"/>
    <w:rsid w:val="01183046"/>
    <w:rsid w:val="011E78F1"/>
    <w:rsid w:val="01200180"/>
    <w:rsid w:val="0122181B"/>
    <w:rsid w:val="01240D5D"/>
    <w:rsid w:val="01243622"/>
    <w:rsid w:val="012511A7"/>
    <w:rsid w:val="01253DB1"/>
    <w:rsid w:val="01287AD0"/>
    <w:rsid w:val="01287B6A"/>
    <w:rsid w:val="01296425"/>
    <w:rsid w:val="01297C1A"/>
    <w:rsid w:val="012A2B09"/>
    <w:rsid w:val="012B05D1"/>
    <w:rsid w:val="01303018"/>
    <w:rsid w:val="013240DD"/>
    <w:rsid w:val="01363A6B"/>
    <w:rsid w:val="01367618"/>
    <w:rsid w:val="01370092"/>
    <w:rsid w:val="01377482"/>
    <w:rsid w:val="013F0474"/>
    <w:rsid w:val="013F49AB"/>
    <w:rsid w:val="01436D15"/>
    <w:rsid w:val="01442144"/>
    <w:rsid w:val="014541B5"/>
    <w:rsid w:val="01475559"/>
    <w:rsid w:val="0148238D"/>
    <w:rsid w:val="014C06F7"/>
    <w:rsid w:val="014C18C3"/>
    <w:rsid w:val="01522E62"/>
    <w:rsid w:val="0152654E"/>
    <w:rsid w:val="01575293"/>
    <w:rsid w:val="01582BD5"/>
    <w:rsid w:val="015846CB"/>
    <w:rsid w:val="01593F71"/>
    <w:rsid w:val="015B08AC"/>
    <w:rsid w:val="015E797C"/>
    <w:rsid w:val="01604144"/>
    <w:rsid w:val="01623393"/>
    <w:rsid w:val="016918A3"/>
    <w:rsid w:val="016B16AC"/>
    <w:rsid w:val="016D7026"/>
    <w:rsid w:val="01712633"/>
    <w:rsid w:val="01731075"/>
    <w:rsid w:val="01807886"/>
    <w:rsid w:val="018200E4"/>
    <w:rsid w:val="01845AD1"/>
    <w:rsid w:val="018C7122"/>
    <w:rsid w:val="01985FF3"/>
    <w:rsid w:val="0199520C"/>
    <w:rsid w:val="019A7D50"/>
    <w:rsid w:val="01A02CBF"/>
    <w:rsid w:val="01A31438"/>
    <w:rsid w:val="01A51807"/>
    <w:rsid w:val="01A74681"/>
    <w:rsid w:val="01A94017"/>
    <w:rsid w:val="01AB2BD5"/>
    <w:rsid w:val="01AB2E50"/>
    <w:rsid w:val="01AC0F5C"/>
    <w:rsid w:val="01AC1519"/>
    <w:rsid w:val="01AC3C60"/>
    <w:rsid w:val="01AE4D8E"/>
    <w:rsid w:val="01AE55E9"/>
    <w:rsid w:val="01B009BE"/>
    <w:rsid w:val="01B32FDF"/>
    <w:rsid w:val="01B41FBB"/>
    <w:rsid w:val="01B51D51"/>
    <w:rsid w:val="01BA29CC"/>
    <w:rsid w:val="01BB4841"/>
    <w:rsid w:val="01BC1300"/>
    <w:rsid w:val="01C07733"/>
    <w:rsid w:val="01C311FA"/>
    <w:rsid w:val="01C33011"/>
    <w:rsid w:val="01C342C7"/>
    <w:rsid w:val="01C37CA0"/>
    <w:rsid w:val="01C7731A"/>
    <w:rsid w:val="01CB2D54"/>
    <w:rsid w:val="01CC5F2B"/>
    <w:rsid w:val="01CC6B1B"/>
    <w:rsid w:val="01CE1EDE"/>
    <w:rsid w:val="01CE3F12"/>
    <w:rsid w:val="01D26C1D"/>
    <w:rsid w:val="01D34230"/>
    <w:rsid w:val="01DA5F21"/>
    <w:rsid w:val="01E00374"/>
    <w:rsid w:val="01E31916"/>
    <w:rsid w:val="01E51BB5"/>
    <w:rsid w:val="01E70D2F"/>
    <w:rsid w:val="01E861D0"/>
    <w:rsid w:val="01F042E5"/>
    <w:rsid w:val="01F47BDE"/>
    <w:rsid w:val="01F53E9D"/>
    <w:rsid w:val="01F614BC"/>
    <w:rsid w:val="01FD0CD5"/>
    <w:rsid w:val="01FD2A72"/>
    <w:rsid w:val="020501FD"/>
    <w:rsid w:val="02054898"/>
    <w:rsid w:val="020618C3"/>
    <w:rsid w:val="020A0A38"/>
    <w:rsid w:val="020D06D1"/>
    <w:rsid w:val="020E0748"/>
    <w:rsid w:val="020F0225"/>
    <w:rsid w:val="02141551"/>
    <w:rsid w:val="02182AE2"/>
    <w:rsid w:val="02187C1E"/>
    <w:rsid w:val="021A2956"/>
    <w:rsid w:val="021C1B51"/>
    <w:rsid w:val="021D4FF1"/>
    <w:rsid w:val="02201F48"/>
    <w:rsid w:val="022104CD"/>
    <w:rsid w:val="02261024"/>
    <w:rsid w:val="022707E5"/>
    <w:rsid w:val="02281199"/>
    <w:rsid w:val="0228373C"/>
    <w:rsid w:val="022916EA"/>
    <w:rsid w:val="022E7668"/>
    <w:rsid w:val="023167DB"/>
    <w:rsid w:val="02366DCD"/>
    <w:rsid w:val="023A5385"/>
    <w:rsid w:val="023F03BF"/>
    <w:rsid w:val="024277C2"/>
    <w:rsid w:val="024331FF"/>
    <w:rsid w:val="0245071E"/>
    <w:rsid w:val="02451008"/>
    <w:rsid w:val="02465BDD"/>
    <w:rsid w:val="0247520C"/>
    <w:rsid w:val="024C5A10"/>
    <w:rsid w:val="025038AD"/>
    <w:rsid w:val="025070D1"/>
    <w:rsid w:val="02525636"/>
    <w:rsid w:val="02546641"/>
    <w:rsid w:val="02584489"/>
    <w:rsid w:val="025A08D0"/>
    <w:rsid w:val="025D26D0"/>
    <w:rsid w:val="025D3B55"/>
    <w:rsid w:val="025E2B0C"/>
    <w:rsid w:val="025F75C3"/>
    <w:rsid w:val="02606CC3"/>
    <w:rsid w:val="026211CE"/>
    <w:rsid w:val="0262134D"/>
    <w:rsid w:val="02635CA4"/>
    <w:rsid w:val="026619C2"/>
    <w:rsid w:val="0267453F"/>
    <w:rsid w:val="026A33FE"/>
    <w:rsid w:val="026C23B9"/>
    <w:rsid w:val="026D0EB1"/>
    <w:rsid w:val="026F1697"/>
    <w:rsid w:val="026F3ABE"/>
    <w:rsid w:val="026F6D71"/>
    <w:rsid w:val="027067A0"/>
    <w:rsid w:val="027160E5"/>
    <w:rsid w:val="027576AC"/>
    <w:rsid w:val="027D79D1"/>
    <w:rsid w:val="0280370B"/>
    <w:rsid w:val="02805858"/>
    <w:rsid w:val="02833964"/>
    <w:rsid w:val="0285426C"/>
    <w:rsid w:val="0287393D"/>
    <w:rsid w:val="02897652"/>
    <w:rsid w:val="028C695A"/>
    <w:rsid w:val="029003F7"/>
    <w:rsid w:val="02906D00"/>
    <w:rsid w:val="029268F4"/>
    <w:rsid w:val="02942D2C"/>
    <w:rsid w:val="0294694A"/>
    <w:rsid w:val="029501DD"/>
    <w:rsid w:val="02971ADF"/>
    <w:rsid w:val="029838D3"/>
    <w:rsid w:val="029A0A0E"/>
    <w:rsid w:val="029D1A54"/>
    <w:rsid w:val="02A073A1"/>
    <w:rsid w:val="02A27168"/>
    <w:rsid w:val="02A42EC7"/>
    <w:rsid w:val="02A72904"/>
    <w:rsid w:val="02A86564"/>
    <w:rsid w:val="02AA739B"/>
    <w:rsid w:val="02AC72EE"/>
    <w:rsid w:val="02AD42C8"/>
    <w:rsid w:val="02AE7F29"/>
    <w:rsid w:val="02B07189"/>
    <w:rsid w:val="02B111A9"/>
    <w:rsid w:val="02B35202"/>
    <w:rsid w:val="02B352A4"/>
    <w:rsid w:val="02B64BA1"/>
    <w:rsid w:val="02B655EB"/>
    <w:rsid w:val="02B768A9"/>
    <w:rsid w:val="02BA31E4"/>
    <w:rsid w:val="02BC3A04"/>
    <w:rsid w:val="02BC5F22"/>
    <w:rsid w:val="02BD43ED"/>
    <w:rsid w:val="02BF5B0D"/>
    <w:rsid w:val="02C100E0"/>
    <w:rsid w:val="02C378DC"/>
    <w:rsid w:val="02C40733"/>
    <w:rsid w:val="02C450C8"/>
    <w:rsid w:val="02C45863"/>
    <w:rsid w:val="02CA121C"/>
    <w:rsid w:val="02CB7CA9"/>
    <w:rsid w:val="02CE4854"/>
    <w:rsid w:val="02CF6E3F"/>
    <w:rsid w:val="02D23759"/>
    <w:rsid w:val="02D66EE1"/>
    <w:rsid w:val="02D879E7"/>
    <w:rsid w:val="02D90281"/>
    <w:rsid w:val="02DC23D9"/>
    <w:rsid w:val="02DE63A3"/>
    <w:rsid w:val="02E30B42"/>
    <w:rsid w:val="02E36451"/>
    <w:rsid w:val="02E57F99"/>
    <w:rsid w:val="02E87225"/>
    <w:rsid w:val="02ED6523"/>
    <w:rsid w:val="02EF7B01"/>
    <w:rsid w:val="02F35FFB"/>
    <w:rsid w:val="02F51FE6"/>
    <w:rsid w:val="02F542CA"/>
    <w:rsid w:val="02F70104"/>
    <w:rsid w:val="02FC1910"/>
    <w:rsid w:val="02FD76F1"/>
    <w:rsid w:val="02FE6C7B"/>
    <w:rsid w:val="02FE7BB2"/>
    <w:rsid w:val="02FF01EA"/>
    <w:rsid w:val="02FF3321"/>
    <w:rsid w:val="02FF4F89"/>
    <w:rsid w:val="03023094"/>
    <w:rsid w:val="03037B8C"/>
    <w:rsid w:val="03045074"/>
    <w:rsid w:val="0305477D"/>
    <w:rsid w:val="03073F8E"/>
    <w:rsid w:val="03076CC2"/>
    <w:rsid w:val="030906A5"/>
    <w:rsid w:val="03091360"/>
    <w:rsid w:val="030960A3"/>
    <w:rsid w:val="03096B56"/>
    <w:rsid w:val="030A2889"/>
    <w:rsid w:val="030B2012"/>
    <w:rsid w:val="030F5F01"/>
    <w:rsid w:val="03127B88"/>
    <w:rsid w:val="031351E9"/>
    <w:rsid w:val="03142DBE"/>
    <w:rsid w:val="03144A6F"/>
    <w:rsid w:val="0314528D"/>
    <w:rsid w:val="03161113"/>
    <w:rsid w:val="031934EC"/>
    <w:rsid w:val="03197FDE"/>
    <w:rsid w:val="031B4DB6"/>
    <w:rsid w:val="031C16D1"/>
    <w:rsid w:val="031C6F11"/>
    <w:rsid w:val="031F350C"/>
    <w:rsid w:val="0320797C"/>
    <w:rsid w:val="03222C12"/>
    <w:rsid w:val="03230BA2"/>
    <w:rsid w:val="03246630"/>
    <w:rsid w:val="03262250"/>
    <w:rsid w:val="03275128"/>
    <w:rsid w:val="032C062A"/>
    <w:rsid w:val="032C1BFA"/>
    <w:rsid w:val="032D4D54"/>
    <w:rsid w:val="032E7D91"/>
    <w:rsid w:val="03311681"/>
    <w:rsid w:val="03311F03"/>
    <w:rsid w:val="0331746E"/>
    <w:rsid w:val="03320EA8"/>
    <w:rsid w:val="033C3FFB"/>
    <w:rsid w:val="033C5DBC"/>
    <w:rsid w:val="033E3706"/>
    <w:rsid w:val="03412D6F"/>
    <w:rsid w:val="03416B81"/>
    <w:rsid w:val="034840DE"/>
    <w:rsid w:val="034B48E6"/>
    <w:rsid w:val="034C0DE8"/>
    <w:rsid w:val="034C45DE"/>
    <w:rsid w:val="034D09E1"/>
    <w:rsid w:val="034E2347"/>
    <w:rsid w:val="03502FCA"/>
    <w:rsid w:val="03553E27"/>
    <w:rsid w:val="03572525"/>
    <w:rsid w:val="035D5C51"/>
    <w:rsid w:val="035E417F"/>
    <w:rsid w:val="035E6D3B"/>
    <w:rsid w:val="03614655"/>
    <w:rsid w:val="03640F2A"/>
    <w:rsid w:val="03662A44"/>
    <w:rsid w:val="03671266"/>
    <w:rsid w:val="03672F80"/>
    <w:rsid w:val="03685A58"/>
    <w:rsid w:val="036B7267"/>
    <w:rsid w:val="036D6AAC"/>
    <w:rsid w:val="03703CB8"/>
    <w:rsid w:val="0371753F"/>
    <w:rsid w:val="03730729"/>
    <w:rsid w:val="037329FA"/>
    <w:rsid w:val="03762DA3"/>
    <w:rsid w:val="037D0E7E"/>
    <w:rsid w:val="037D1E77"/>
    <w:rsid w:val="037F7EBD"/>
    <w:rsid w:val="0381165F"/>
    <w:rsid w:val="038207AB"/>
    <w:rsid w:val="038347D2"/>
    <w:rsid w:val="03851A72"/>
    <w:rsid w:val="03863C6E"/>
    <w:rsid w:val="03870C53"/>
    <w:rsid w:val="038879EB"/>
    <w:rsid w:val="03897267"/>
    <w:rsid w:val="038B026B"/>
    <w:rsid w:val="038D1771"/>
    <w:rsid w:val="038F4042"/>
    <w:rsid w:val="03911C53"/>
    <w:rsid w:val="03915F6B"/>
    <w:rsid w:val="03944F1A"/>
    <w:rsid w:val="03957F9C"/>
    <w:rsid w:val="03967C99"/>
    <w:rsid w:val="039B60B0"/>
    <w:rsid w:val="039C3235"/>
    <w:rsid w:val="039E68F2"/>
    <w:rsid w:val="03A00920"/>
    <w:rsid w:val="03A053B6"/>
    <w:rsid w:val="03A13E58"/>
    <w:rsid w:val="03A30DBA"/>
    <w:rsid w:val="03A52010"/>
    <w:rsid w:val="03AC29DD"/>
    <w:rsid w:val="03AF41D7"/>
    <w:rsid w:val="03B140E0"/>
    <w:rsid w:val="03B1510E"/>
    <w:rsid w:val="03B437BC"/>
    <w:rsid w:val="03B818D1"/>
    <w:rsid w:val="03BB4A39"/>
    <w:rsid w:val="03BD3BA6"/>
    <w:rsid w:val="03C4268A"/>
    <w:rsid w:val="03C548C8"/>
    <w:rsid w:val="03C7713B"/>
    <w:rsid w:val="03C85073"/>
    <w:rsid w:val="03CA6CFA"/>
    <w:rsid w:val="03CD5608"/>
    <w:rsid w:val="03CF41F0"/>
    <w:rsid w:val="03D33DA2"/>
    <w:rsid w:val="03D374AD"/>
    <w:rsid w:val="03D74655"/>
    <w:rsid w:val="03D7570C"/>
    <w:rsid w:val="03D91CAC"/>
    <w:rsid w:val="03DB4F01"/>
    <w:rsid w:val="03DB5119"/>
    <w:rsid w:val="03DC7481"/>
    <w:rsid w:val="03DE0CE1"/>
    <w:rsid w:val="03E0238C"/>
    <w:rsid w:val="03E17FDA"/>
    <w:rsid w:val="03E24CF6"/>
    <w:rsid w:val="03E43EF9"/>
    <w:rsid w:val="03E44EE3"/>
    <w:rsid w:val="03EB3810"/>
    <w:rsid w:val="03EF0B09"/>
    <w:rsid w:val="03F438BF"/>
    <w:rsid w:val="03F55F60"/>
    <w:rsid w:val="03F72BD7"/>
    <w:rsid w:val="03FF0ED5"/>
    <w:rsid w:val="03FF4852"/>
    <w:rsid w:val="04043033"/>
    <w:rsid w:val="0405027A"/>
    <w:rsid w:val="040550CF"/>
    <w:rsid w:val="04071E5E"/>
    <w:rsid w:val="040C7035"/>
    <w:rsid w:val="040F4058"/>
    <w:rsid w:val="040F5368"/>
    <w:rsid w:val="04130264"/>
    <w:rsid w:val="04167142"/>
    <w:rsid w:val="04172DF5"/>
    <w:rsid w:val="041B63A7"/>
    <w:rsid w:val="041C2C8B"/>
    <w:rsid w:val="041C3116"/>
    <w:rsid w:val="041D248A"/>
    <w:rsid w:val="041F17C8"/>
    <w:rsid w:val="04202044"/>
    <w:rsid w:val="04207D1D"/>
    <w:rsid w:val="04212B14"/>
    <w:rsid w:val="04223122"/>
    <w:rsid w:val="04223CD9"/>
    <w:rsid w:val="042968AA"/>
    <w:rsid w:val="042D29AF"/>
    <w:rsid w:val="042D737E"/>
    <w:rsid w:val="042E451B"/>
    <w:rsid w:val="042F3048"/>
    <w:rsid w:val="04395E96"/>
    <w:rsid w:val="043C6F17"/>
    <w:rsid w:val="043E7692"/>
    <w:rsid w:val="04434234"/>
    <w:rsid w:val="044767F0"/>
    <w:rsid w:val="04494A2F"/>
    <w:rsid w:val="04507F56"/>
    <w:rsid w:val="045136E6"/>
    <w:rsid w:val="04530F2E"/>
    <w:rsid w:val="045D78A6"/>
    <w:rsid w:val="045D7C5C"/>
    <w:rsid w:val="04612411"/>
    <w:rsid w:val="04633CEA"/>
    <w:rsid w:val="04665213"/>
    <w:rsid w:val="046A0CB2"/>
    <w:rsid w:val="046D35BB"/>
    <w:rsid w:val="046D7960"/>
    <w:rsid w:val="0472524C"/>
    <w:rsid w:val="04773B89"/>
    <w:rsid w:val="047C74E9"/>
    <w:rsid w:val="047E2185"/>
    <w:rsid w:val="0480131A"/>
    <w:rsid w:val="048C02A6"/>
    <w:rsid w:val="048F4351"/>
    <w:rsid w:val="049206A7"/>
    <w:rsid w:val="04930B37"/>
    <w:rsid w:val="04960BDF"/>
    <w:rsid w:val="04984E97"/>
    <w:rsid w:val="04987056"/>
    <w:rsid w:val="049A58A4"/>
    <w:rsid w:val="049A7977"/>
    <w:rsid w:val="049A7F4C"/>
    <w:rsid w:val="049B685F"/>
    <w:rsid w:val="049D4D0A"/>
    <w:rsid w:val="04A40953"/>
    <w:rsid w:val="04A539FF"/>
    <w:rsid w:val="04A771F7"/>
    <w:rsid w:val="04AA596B"/>
    <w:rsid w:val="04AC5F4F"/>
    <w:rsid w:val="04B00879"/>
    <w:rsid w:val="04B7263F"/>
    <w:rsid w:val="04B73FC4"/>
    <w:rsid w:val="04B770A5"/>
    <w:rsid w:val="04B82BF5"/>
    <w:rsid w:val="04B911AA"/>
    <w:rsid w:val="04BA7EDC"/>
    <w:rsid w:val="04C005F3"/>
    <w:rsid w:val="04C06D9A"/>
    <w:rsid w:val="04C45720"/>
    <w:rsid w:val="04C60533"/>
    <w:rsid w:val="04CA748B"/>
    <w:rsid w:val="04CB60BC"/>
    <w:rsid w:val="04CB6107"/>
    <w:rsid w:val="04CE2129"/>
    <w:rsid w:val="04D121A8"/>
    <w:rsid w:val="04D31C8E"/>
    <w:rsid w:val="04D3582F"/>
    <w:rsid w:val="04D43078"/>
    <w:rsid w:val="04D60EBC"/>
    <w:rsid w:val="04DA6DD0"/>
    <w:rsid w:val="04DB67C2"/>
    <w:rsid w:val="04DD3A1D"/>
    <w:rsid w:val="04E13714"/>
    <w:rsid w:val="04E207DC"/>
    <w:rsid w:val="04E352FC"/>
    <w:rsid w:val="04E62CAA"/>
    <w:rsid w:val="04E63849"/>
    <w:rsid w:val="04E7703C"/>
    <w:rsid w:val="04EA3176"/>
    <w:rsid w:val="04EB6068"/>
    <w:rsid w:val="04EC7CA0"/>
    <w:rsid w:val="04EF3327"/>
    <w:rsid w:val="04F16F4A"/>
    <w:rsid w:val="04F2368B"/>
    <w:rsid w:val="04F337FE"/>
    <w:rsid w:val="04F352FC"/>
    <w:rsid w:val="04F37300"/>
    <w:rsid w:val="04F40B15"/>
    <w:rsid w:val="04FA2488"/>
    <w:rsid w:val="04FF6AB4"/>
    <w:rsid w:val="05006BBE"/>
    <w:rsid w:val="05022D69"/>
    <w:rsid w:val="0504214D"/>
    <w:rsid w:val="05051B03"/>
    <w:rsid w:val="05061690"/>
    <w:rsid w:val="05083351"/>
    <w:rsid w:val="050E379A"/>
    <w:rsid w:val="05115DE2"/>
    <w:rsid w:val="05122054"/>
    <w:rsid w:val="051310CD"/>
    <w:rsid w:val="05143A62"/>
    <w:rsid w:val="0519006E"/>
    <w:rsid w:val="05215084"/>
    <w:rsid w:val="05220F30"/>
    <w:rsid w:val="05237172"/>
    <w:rsid w:val="0524353C"/>
    <w:rsid w:val="052463E2"/>
    <w:rsid w:val="05272400"/>
    <w:rsid w:val="052A182D"/>
    <w:rsid w:val="052D3472"/>
    <w:rsid w:val="052E096F"/>
    <w:rsid w:val="05321619"/>
    <w:rsid w:val="053B68A7"/>
    <w:rsid w:val="053C1225"/>
    <w:rsid w:val="053F73C5"/>
    <w:rsid w:val="0542153D"/>
    <w:rsid w:val="05433478"/>
    <w:rsid w:val="0544712B"/>
    <w:rsid w:val="054530C3"/>
    <w:rsid w:val="0545348B"/>
    <w:rsid w:val="054659B9"/>
    <w:rsid w:val="055C3071"/>
    <w:rsid w:val="055E69A5"/>
    <w:rsid w:val="055F068D"/>
    <w:rsid w:val="05614135"/>
    <w:rsid w:val="056167E3"/>
    <w:rsid w:val="05633D62"/>
    <w:rsid w:val="056A17DF"/>
    <w:rsid w:val="056C3E85"/>
    <w:rsid w:val="056C4D06"/>
    <w:rsid w:val="056C5906"/>
    <w:rsid w:val="056D188C"/>
    <w:rsid w:val="056D7114"/>
    <w:rsid w:val="056E76CE"/>
    <w:rsid w:val="056F1A1A"/>
    <w:rsid w:val="05717C13"/>
    <w:rsid w:val="05731214"/>
    <w:rsid w:val="057322D1"/>
    <w:rsid w:val="057338E8"/>
    <w:rsid w:val="057572E3"/>
    <w:rsid w:val="05796CF3"/>
    <w:rsid w:val="057E3EAD"/>
    <w:rsid w:val="0583163C"/>
    <w:rsid w:val="05852BC4"/>
    <w:rsid w:val="05877CE9"/>
    <w:rsid w:val="058A22CE"/>
    <w:rsid w:val="058C59BC"/>
    <w:rsid w:val="058F3702"/>
    <w:rsid w:val="059077B0"/>
    <w:rsid w:val="05910972"/>
    <w:rsid w:val="059336D1"/>
    <w:rsid w:val="05937CDC"/>
    <w:rsid w:val="05946B47"/>
    <w:rsid w:val="05952E3B"/>
    <w:rsid w:val="05971154"/>
    <w:rsid w:val="059A3FFC"/>
    <w:rsid w:val="059C21EA"/>
    <w:rsid w:val="059E3C2D"/>
    <w:rsid w:val="05A02896"/>
    <w:rsid w:val="05A06AF4"/>
    <w:rsid w:val="05A45718"/>
    <w:rsid w:val="05A66F69"/>
    <w:rsid w:val="05A723B6"/>
    <w:rsid w:val="05AD7613"/>
    <w:rsid w:val="05B24675"/>
    <w:rsid w:val="05B865A8"/>
    <w:rsid w:val="05C13313"/>
    <w:rsid w:val="05C24D80"/>
    <w:rsid w:val="05C468C1"/>
    <w:rsid w:val="05C8785A"/>
    <w:rsid w:val="05C8799D"/>
    <w:rsid w:val="05CF13D0"/>
    <w:rsid w:val="05CF3F1C"/>
    <w:rsid w:val="05D070CD"/>
    <w:rsid w:val="05D078C3"/>
    <w:rsid w:val="05D432F4"/>
    <w:rsid w:val="05D55C1B"/>
    <w:rsid w:val="05D6201D"/>
    <w:rsid w:val="05D7564E"/>
    <w:rsid w:val="05DB7525"/>
    <w:rsid w:val="05E31A6C"/>
    <w:rsid w:val="05E55083"/>
    <w:rsid w:val="05EB1EED"/>
    <w:rsid w:val="05F008E7"/>
    <w:rsid w:val="05F15818"/>
    <w:rsid w:val="05F326E0"/>
    <w:rsid w:val="05F355F5"/>
    <w:rsid w:val="05F50F43"/>
    <w:rsid w:val="05F5221C"/>
    <w:rsid w:val="05F656C0"/>
    <w:rsid w:val="05FA1C6D"/>
    <w:rsid w:val="05FD554E"/>
    <w:rsid w:val="05FE4664"/>
    <w:rsid w:val="05FF108C"/>
    <w:rsid w:val="060207D2"/>
    <w:rsid w:val="060707C1"/>
    <w:rsid w:val="06087791"/>
    <w:rsid w:val="06095725"/>
    <w:rsid w:val="060B395F"/>
    <w:rsid w:val="060F350C"/>
    <w:rsid w:val="06105CCD"/>
    <w:rsid w:val="06133F29"/>
    <w:rsid w:val="06135AB0"/>
    <w:rsid w:val="06192B5A"/>
    <w:rsid w:val="06197A37"/>
    <w:rsid w:val="06210A53"/>
    <w:rsid w:val="062168AC"/>
    <w:rsid w:val="062319DA"/>
    <w:rsid w:val="06275E18"/>
    <w:rsid w:val="0629420B"/>
    <w:rsid w:val="06295EFA"/>
    <w:rsid w:val="062A432A"/>
    <w:rsid w:val="062C7383"/>
    <w:rsid w:val="062D0C82"/>
    <w:rsid w:val="062D4CB2"/>
    <w:rsid w:val="062E1000"/>
    <w:rsid w:val="062F628F"/>
    <w:rsid w:val="062F678D"/>
    <w:rsid w:val="062F6FAB"/>
    <w:rsid w:val="06324F64"/>
    <w:rsid w:val="06361A0E"/>
    <w:rsid w:val="06362DBA"/>
    <w:rsid w:val="063824C7"/>
    <w:rsid w:val="063B2B6F"/>
    <w:rsid w:val="063B69E0"/>
    <w:rsid w:val="063D7E67"/>
    <w:rsid w:val="063E0F82"/>
    <w:rsid w:val="063E2A24"/>
    <w:rsid w:val="0640577F"/>
    <w:rsid w:val="06415D80"/>
    <w:rsid w:val="06422EE3"/>
    <w:rsid w:val="06423A73"/>
    <w:rsid w:val="06425F34"/>
    <w:rsid w:val="064266FA"/>
    <w:rsid w:val="06442A87"/>
    <w:rsid w:val="0646082E"/>
    <w:rsid w:val="06481A63"/>
    <w:rsid w:val="0648459E"/>
    <w:rsid w:val="06495E2F"/>
    <w:rsid w:val="064C234F"/>
    <w:rsid w:val="064C750A"/>
    <w:rsid w:val="06516938"/>
    <w:rsid w:val="065353CF"/>
    <w:rsid w:val="06553C7B"/>
    <w:rsid w:val="06555C3C"/>
    <w:rsid w:val="06573CEF"/>
    <w:rsid w:val="06590A6B"/>
    <w:rsid w:val="065A1FCC"/>
    <w:rsid w:val="065B344C"/>
    <w:rsid w:val="065F24D3"/>
    <w:rsid w:val="06693EB1"/>
    <w:rsid w:val="066B2582"/>
    <w:rsid w:val="066B3C1F"/>
    <w:rsid w:val="066C55D7"/>
    <w:rsid w:val="0670140A"/>
    <w:rsid w:val="06765E43"/>
    <w:rsid w:val="067824AC"/>
    <w:rsid w:val="06786035"/>
    <w:rsid w:val="067E120D"/>
    <w:rsid w:val="067F0124"/>
    <w:rsid w:val="06845920"/>
    <w:rsid w:val="06870B7A"/>
    <w:rsid w:val="068A2DCB"/>
    <w:rsid w:val="068D4FBB"/>
    <w:rsid w:val="068E5542"/>
    <w:rsid w:val="069272BF"/>
    <w:rsid w:val="06927DC4"/>
    <w:rsid w:val="06934627"/>
    <w:rsid w:val="06957C02"/>
    <w:rsid w:val="069679AB"/>
    <w:rsid w:val="069726E2"/>
    <w:rsid w:val="06972ACB"/>
    <w:rsid w:val="06980BA6"/>
    <w:rsid w:val="069B41EE"/>
    <w:rsid w:val="069C6B61"/>
    <w:rsid w:val="069E13AA"/>
    <w:rsid w:val="069E6A12"/>
    <w:rsid w:val="06A0201C"/>
    <w:rsid w:val="06A433A6"/>
    <w:rsid w:val="06A8564C"/>
    <w:rsid w:val="06B44845"/>
    <w:rsid w:val="06B54F07"/>
    <w:rsid w:val="06B67139"/>
    <w:rsid w:val="06B8029F"/>
    <w:rsid w:val="06BA57D4"/>
    <w:rsid w:val="06BB54A3"/>
    <w:rsid w:val="06BC2F20"/>
    <w:rsid w:val="06BC5803"/>
    <w:rsid w:val="06C1073E"/>
    <w:rsid w:val="06C477BB"/>
    <w:rsid w:val="06C85FFD"/>
    <w:rsid w:val="06CD56F2"/>
    <w:rsid w:val="06CE3A5E"/>
    <w:rsid w:val="06CF7882"/>
    <w:rsid w:val="06D023DB"/>
    <w:rsid w:val="06D03CAA"/>
    <w:rsid w:val="06DB2110"/>
    <w:rsid w:val="06DC355C"/>
    <w:rsid w:val="06DC6EE4"/>
    <w:rsid w:val="06E530F7"/>
    <w:rsid w:val="06E60308"/>
    <w:rsid w:val="06E64E25"/>
    <w:rsid w:val="06E72F7F"/>
    <w:rsid w:val="06E74907"/>
    <w:rsid w:val="06EC6EE6"/>
    <w:rsid w:val="06ED14EE"/>
    <w:rsid w:val="06ED3316"/>
    <w:rsid w:val="06ED371E"/>
    <w:rsid w:val="06ED56BA"/>
    <w:rsid w:val="06ED7724"/>
    <w:rsid w:val="06F14F2D"/>
    <w:rsid w:val="06F34E7D"/>
    <w:rsid w:val="06F57C37"/>
    <w:rsid w:val="06F62407"/>
    <w:rsid w:val="06F7271B"/>
    <w:rsid w:val="06F7523D"/>
    <w:rsid w:val="06F84CA6"/>
    <w:rsid w:val="06FB5699"/>
    <w:rsid w:val="06FF32D4"/>
    <w:rsid w:val="070063E1"/>
    <w:rsid w:val="070074A8"/>
    <w:rsid w:val="070309A1"/>
    <w:rsid w:val="070617C6"/>
    <w:rsid w:val="070653D9"/>
    <w:rsid w:val="07076777"/>
    <w:rsid w:val="070B2EB4"/>
    <w:rsid w:val="070C3CCC"/>
    <w:rsid w:val="07123134"/>
    <w:rsid w:val="07145A4C"/>
    <w:rsid w:val="07171DF2"/>
    <w:rsid w:val="07186D65"/>
    <w:rsid w:val="071B03F5"/>
    <w:rsid w:val="071B5CDA"/>
    <w:rsid w:val="071B6815"/>
    <w:rsid w:val="071F417D"/>
    <w:rsid w:val="07210A0E"/>
    <w:rsid w:val="072724F5"/>
    <w:rsid w:val="072821E3"/>
    <w:rsid w:val="07287FD8"/>
    <w:rsid w:val="072956BF"/>
    <w:rsid w:val="072B763B"/>
    <w:rsid w:val="072C0D35"/>
    <w:rsid w:val="072C7517"/>
    <w:rsid w:val="07315070"/>
    <w:rsid w:val="0732701A"/>
    <w:rsid w:val="07330141"/>
    <w:rsid w:val="07342F91"/>
    <w:rsid w:val="07350438"/>
    <w:rsid w:val="07367155"/>
    <w:rsid w:val="073709E5"/>
    <w:rsid w:val="073815C3"/>
    <w:rsid w:val="073B370E"/>
    <w:rsid w:val="073B74EC"/>
    <w:rsid w:val="073E0700"/>
    <w:rsid w:val="07430B46"/>
    <w:rsid w:val="07432664"/>
    <w:rsid w:val="074349C4"/>
    <w:rsid w:val="07434EA5"/>
    <w:rsid w:val="0746158A"/>
    <w:rsid w:val="074C1B4C"/>
    <w:rsid w:val="075210AC"/>
    <w:rsid w:val="07521DE8"/>
    <w:rsid w:val="0755030D"/>
    <w:rsid w:val="07551150"/>
    <w:rsid w:val="07571F72"/>
    <w:rsid w:val="075A087B"/>
    <w:rsid w:val="075A0AA8"/>
    <w:rsid w:val="075A261E"/>
    <w:rsid w:val="075B2AF9"/>
    <w:rsid w:val="075B2DB6"/>
    <w:rsid w:val="075C1B4D"/>
    <w:rsid w:val="075C2F80"/>
    <w:rsid w:val="075D28D6"/>
    <w:rsid w:val="0760657E"/>
    <w:rsid w:val="07626848"/>
    <w:rsid w:val="07627F30"/>
    <w:rsid w:val="076767B7"/>
    <w:rsid w:val="076B6B41"/>
    <w:rsid w:val="076F1437"/>
    <w:rsid w:val="07735B67"/>
    <w:rsid w:val="077548BA"/>
    <w:rsid w:val="07774520"/>
    <w:rsid w:val="077E78BF"/>
    <w:rsid w:val="077F4FEE"/>
    <w:rsid w:val="078004B4"/>
    <w:rsid w:val="07864654"/>
    <w:rsid w:val="07881B5B"/>
    <w:rsid w:val="0791424D"/>
    <w:rsid w:val="07930FA1"/>
    <w:rsid w:val="07933438"/>
    <w:rsid w:val="07935DC1"/>
    <w:rsid w:val="07964C5A"/>
    <w:rsid w:val="079828A7"/>
    <w:rsid w:val="07997F04"/>
    <w:rsid w:val="079E6CF4"/>
    <w:rsid w:val="079F3E2E"/>
    <w:rsid w:val="07A04520"/>
    <w:rsid w:val="07A15F8F"/>
    <w:rsid w:val="07A40AF3"/>
    <w:rsid w:val="07A8407D"/>
    <w:rsid w:val="07A85C3C"/>
    <w:rsid w:val="07A93D8E"/>
    <w:rsid w:val="07AA026D"/>
    <w:rsid w:val="07AB6DC9"/>
    <w:rsid w:val="07AD7FE0"/>
    <w:rsid w:val="07AF6917"/>
    <w:rsid w:val="07B2676F"/>
    <w:rsid w:val="07B76F76"/>
    <w:rsid w:val="07B968CE"/>
    <w:rsid w:val="07BD3FD6"/>
    <w:rsid w:val="07BD7C32"/>
    <w:rsid w:val="07BE3B4F"/>
    <w:rsid w:val="07BE75A0"/>
    <w:rsid w:val="07C251AD"/>
    <w:rsid w:val="07C60276"/>
    <w:rsid w:val="07CA2735"/>
    <w:rsid w:val="07CE2D7D"/>
    <w:rsid w:val="07D3369A"/>
    <w:rsid w:val="07D66D00"/>
    <w:rsid w:val="07D73BC8"/>
    <w:rsid w:val="07D811EB"/>
    <w:rsid w:val="07D82C9F"/>
    <w:rsid w:val="07DA35B7"/>
    <w:rsid w:val="07DE19B0"/>
    <w:rsid w:val="07E22EB1"/>
    <w:rsid w:val="07E24C5F"/>
    <w:rsid w:val="07E27647"/>
    <w:rsid w:val="07E30B5A"/>
    <w:rsid w:val="07E44CBE"/>
    <w:rsid w:val="07E4512D"/>
    <w:rsid w:val="07E47006"/>
    <w:rsid w:val="07E473B5"/>
    <w:rsid w:val="07E55BF6"/>
    <w:rsid w:val="07E6136D"/>
    <w:rsid w:val="07E701D5"/>
    <w:rsid w:val="07E97926"/>
    <w:rsid w:val="07EB1DEE"/>
    <w:rsid w:val="07EB724F"/>
    <w:rsid w:val="07EB7B25"/>
    <w:rsid w:val="07EC6767"/>
    <w:rsid w:val="07EE256F"/>
    <w:rsid w:val="07EE3406"/>
    <w:rsid w:val="07F21010"/>
    <w:rsid w:val="07F25393"/>
    <w:rsid w:val="07F30D99"/>
    <w:rsid w:val="07F5428A"/>
    <w:rsid w:val="07F57CBA"/>
    <w:rsid w:val="07F75F4B"/>
    <w:rsid w:val="07F80023"/>
    <w:rsid w:val="07FE5C0B"/>
    <w:rsid w:val="08026889"/>
    <w:rsid w:val="080300EB"/>
    <w:rsid w:val="08030C9B"/>
    <w:rsid w:val="08034B68"/>
    <w:rsid w:val="08062879"/>
    <w:rsid w:val="08071F01"/>
    <w:rsid w:val="080A5D3F"/>
    <w:rsid w:val="080E2481"/>
    <w:rsid w:val="080F2E96"/>
    <w:rsid w:val="081176CB"/>
    <w:rsid w:val="08122147"/>
    <w:rsid w:val="081266B6"/>
    <w:rsid w:val="081475F0"/>
    <w:rsid w:val="081717A3"/>
    <w:rsid w:val="081801E0"/>
    <w:rsid w:val="08181271"/>
    <w:rsid w:val="08191AC5"/>
    <w:rsid w:val="081A545D"/>
    <w:rsid w:val="081F4D2C"/>
    <w:rsid w:val="082058BF"/>
    <w:rsid w:val="0823626D"/>
    <w:rsid w:val="0826439F"/>
    <w:rsid w:val="08296FAD"/>
    <w:rsid w:val="082D4B50"/>
    <w:rsid w:val="08307428"/>
    <w:rsid w:val="08316099"/>
    <w:rsid w:val="08323B10"/>
    <w:rsid w:val="08336D6C"/>
    <w:rsid w:val="0834725C"/>
    <w:rsid w:val="083A2BD4"/>
    <w:rsid w:val="083C16EA"/>
    <w:rsid w:val="08412EAF"/>
    <w:rsid w:val="08435139"/>
    <w:rsid w:val="08443BA8"/>
    <w:rsid w:val="0845352C"/>
    <w:rsid w:val="08492F73"/>
    <w:rsid w:val="08527872"/>
    <w:rsid w:val="0856782B"/>
    <w:rsid w:val="085715A2"/>
    <w:rsid w:val="0857448D"/>
    <w:rsid w:val="0858289B"/>
    <w:rsid w:val="08587B3B"/>
    <w:rsid w:val="085A38D8"/>
    <w:rsid w:val="085B77E5"/>
    <w:rsid w:val="085C0BE9"/>
    <w:rsid w:val="085F0FE2"/>
    <w:rsid w:val="08611EA1"/>
    <w:rsid w:val="086146C1"/>
    <w:rsid w:val="08615FCA"/>
    <w:rsid w:val="08637769"/>
    <w:rsid w:val="08641DAD"/>
    <w:rsid w:val="08655060"/>
    <w:rsid w:val="086B6A4D"/>
    <w:rsid w:val="086C35E6"/>
    <w:rsid w:val="086C418C"/>
    <w:rsid w:val="086C5F14"/>
    <w:rsid w:val="086D405E"/>
    <w:rsid w:val="086E6E89"/>
    <w:rsid w:val="087549D3"/>
    <w:rsid w:val="0876402D"/>
    <w:rsid w:val="0878625A"/>
    <w:rsid w:val="087910E9"/>
    <w:rsid w:val="08794935"/>
    <w:rsid w:val="087D5C2C"/>
    <w:rsid w:val="087F2C6A"/>
    <w:rsid w:val="088004F2"/>
    <w:rsid w:val="08821E31"/>
    <w:rsid w:val="08826BFD"/>
    <w:rsid w:val="08840B28"/>
    <w:rsid w:val="0885403A"/>
    <w:rsid w:val="088547FA"/>
    <w:rsid w:val="088A0991"/>
    <w:rsid w:val="088A22E6"/>
    <w:rsid w:val="088E2C12"/>
    <w:rsid w:val="088F2D5D"/>
    <w:rsid w:val="088F7A7A"/>
    <w:rsid w:val="08961D79"/>
    <w:rsid w:val="0897171C"/>
    <w:rsid w:val="08972607"/>
    <w:rsid w:val="08983373"/>
    <w:rsid w:val="089A578C"/>
    <w:rsid w:val="089B5F12"/>
    <w:rsid w:val="089C2CC7"/>
    <w:rsid w:val="089D2B57"/>
    <w:rsid w:val="08A13514"/>
    <w:rsid w:val="08A90CBE"/>
    <w:rsid w:val="08A93A08"/>
    <w:rsid w:val="08AB273E"/>
    <w:rsid w:val="08AB3B05"/>
    <w:rsid w:val="08AD622D"/>
    <w:rsid w:val="08B20036"/>
    <w:rsid w:val="08B264C9"/>
    <w:rsid w:val="08B4613A"/>
    <w:rsid w:val="08B63D15"/>
    <w:rsid w:val="08B65C65"/>
    <w:rsid w:val="08B83953"/>
    <w:rsid w:val="08BA6605"/>
    <w:rsid w:val="08BD489C"/>
    <w:rsid w:val="08C14C96"/>
    <w:rsid w:val="08C30276"/>
    <w:rsid w:val="08C37C60"/>
    <w:rsid w:val="08C411CE"/>
    <w:rsid w:val="08C57A94"/>
    <w:rsid w:val="08CB243C"/>
    <w:rsid w:val="08CD751F"/>
    <w:rsid w:val="08CF0C89"/>
    <w:rsid w:val="08CF3D76"/>
    <w:rsid w:val="08CF78DC"/>
    <w:rsid w:val="08CF7A30"/>
    <w:rsid w:val="08D054F9"/>
    <w:rsid w:val="08D43EAC"/>
    <w:rsid w:val="08D4473D"/>
    <w:rsid w:val="08D62704"/>
    <w:rsid w:val="08D90E1F"/>
    <w:rsid w:val="08DD698F"/>
    <w:rsid w:val="08E17A52"/>
    <w:rsid w:val="08E2364A"/>
    <w:rsid w:val="08E62EAD"/>
    <w:rsid w:val="08E769D7"/>
    <w:rsid w:val="08E918B3"/>
    <w:rsid w:val="08E96720"/>
    <w:rsid w:val="08EA1E6C"/>
    <w:rsid w:val="08EB5906"/>
    <w:rsid w:val="08EE24D5"/>
    <w:rsid w:val="08F3332B"/>
    <w:rsid w:val="08F36434"/>
    <w:rsid w:val="08F65343"/>
    <w:rsid w:val="08F95798"/>
    <w:rsid w:val="08FB54AC"/>
    <w:rsid w:val="08FC5A1B"/>
    <w:rsid w:val="08FC7F90"/>
    <w:rsid w:val="08FD1C6D"/>
    <w:rsid w:val="08FD5A81"/>
    <w:rsid w:val="08FE7807"/>
    <w:rsid w:val="090232DF"/>
    <w:rsid w:val="09026F88"/>
    <w:rsid w:val="09075D55"/>
    <w:rsid w:val="090D7115"/>
    <w:rsid w:val="090F2917"/>
    <w:rsid w:val="0910371E"/>
    <w:rsid w:val="091671F4"/>
    <w:rsid w:val="09185990"/>
    <w:rsid w:val="09196CBF"/>
    <w:rsid w:val="091C314B"/>
    <w:rsid w:val="091D5CB4"/>
    <w:rsid w:val="091D5F12"/>
    <w:rsid w:val="091F0A9C"/>
    <w:rsid w:val="091F3202"/>
    <w:rsid w:val="09242321"/>
    <w:rsid w:val="09266503"/>
    <w:rsid w:val="092807CB"/>
    <w:rsid w:val="09287B56"/>
    <w:rsid w:val="09293E35"/>
    <w:rsid w:val="092A710C"/>
    <w:rsid w:val="092B489F"/>
    <w:rsid w:val="0930297C"/>
    <w:rsid w:val="09313ED9"/>
    <w:rsid w:val="09334BFE"/>
    <w:rsid w:val="093C77F5"/>
    <w:rsid w:val="093D0C0F"/>
    <w:rsid w:val="093E46E1"/>
    <w:rsid w:val="093E4789"/>
    <w:rsid w:val="0943699A"/>
    <w:rsid w:val="09474A22"/>
    <w:rsid w:val="09474F95"/>
    <w:rsid w:val="0947720A"/>
    <w:rsid w:val="094924CE"/>
    <w:rsid w:val="094C7D4C"/>
    <w:rsid w:val="095762FE"/>
    <w:rsid w:val="09584952"/>
    <w:rsid w:val="09591315"/>
    <w:rsid w:val="095B31CF"/>
    <w:rsid w:val="095D33BC"/>
    <w:rsid w:val="095D3B59"/>
    <w:rsid w:val="095F4562"/>
    <w:rsid w:val="09612513"/>
    <w:rsid w:val="09655556"/>
    <w:rsid w:val="096658B8"/>
    <w:rsid w:val="096909A5"/>
    <w:rsid w:val="096B6F35"/>
    <w:rsid w:val="096C2EE8"/>
    <w:rsid w:val="096D5B64"/>
    <w:rsid w:val="096E1D23"/>
    <w:rsid w:val="096E7C23"/>
    <w:rsid w:val="09701165"/>
    <w:rsid w:val="097014A9"/>
    <w:rsid w:val="097112AC"/>
    <w:rsid w:val="0971398F"/>
    <w:rsid w:val="0973518F"/>
    <w:rsid w:val="09756F14"/>
    <w:rsid w:val="09760982"/>
    <w:rsid w:val="09794BA7"/>
    <w:rsid w:val="097C6220"/>
    <w:rsid w:val="097C7936"/>
    <w:rsid w:val="09803AE6"/>
    <w:rsid w:val="09821FA3"/>
    <w:rsid w:val="09825C08"/>
    <w:rsid w:val="09825C7F"/>
    <w:rsid w:val="098737ED"/>
    <w:rsid w:val="09894386"/>
    <w:rsid w:val="098D29EF"/>
    <w:rsid w:val="098E0521"/>
    <w:rsid w:val="098E45F9"/>
    <w:rsid w:val="098F1348"/>
    <w:rsid w:val="098F660B"/>
    <w:rsid w:val="0991039F"/>
    <w:rsid w:val="09921AC1"/>
    <w:rsid w:val="099679B4"/>
    <w:rsid w:val="0997343B"/>
    <w:rsid w:val="09974AC4"/>
    <w:rsid w:val="099A3D4E"/>
    <w:rsid w:val="099B1EC0"/>
    <w:rsid w:val="099C208F"/>
    <w:rsid w:val="099C6804"/>
    <w:rsid w:val="099E05A0"/>
    <w:rsid w:val="099F47C7"/>
    <w:rsid w:val="09A229C2"/>
    <w:rsid w:val="09A42C6E"/>
    <w:rsid w:val="09A57D79"/>
    <w:rsid w:val="09AE2348"/>
    <w:rsid w:val="09AE7DF8"/>
    <w:rsid w:val="09AF1DF5"/>
    <w:rsid w:val="09B2696C"/>
    <w:rsid w:val="09B44BC5"/>
    <w:rsid w:val="09B6347C"/>
    <w:rsid w:val="09BC3B3C"/>
    <w:rsid w:val="09BC3E25"/>
    <w:rsid w:val="09BD00E7"/>
    <w:rsid w:val="09BE6354"/>
    <w:rsid w:val="09C149BC"/>
    <w:rsid w:val="09C26815"/>
    <w:rsid w:val="09C40443"/>
    <w:rsid w:val="09C446DC"/>
    <w:rsid w:val="09C5022B"/>
    <w:rsid w:val="09C52674"/>
    <w:rsid w:val="09C6583E"/>
    <w:rsid w:val="09CC06D4"/>
    <w:rsid w:val="09CD1A00"/>
    <w:rsid w:val="09D06179"/>
    <w:rsid w:val="09D31EB4"/>
    <w:rsid w:val="09D3355E"/>
    <w:rsid w:val="09D81D6B"/>
    <w:rsid w:val="09DA223A"/>
    <w:rsid w:val="09DC14A6"/>
    <w:rsid w:val="09DD0944"/>
    <w:rsid w:val="09DD1F41"/>
    <w:rsid w:val="09E00C91"/>
    <w:rsid w:val="09E47BA1"/>
    <w:rsid w:val="09E559EA"/>
    <w:rsid w:val="09E576DA"/>
    <w:rsid w:val="09E72210"/>
    <w:rsid w:val="09E95459"/>
    <w:rsid w:val="09EB3564"/>
    <w:rsid w:val="09EF1F48"/>
    <w:rsid w:val="09F44567"/>
    <w:rsid w:val="09F47E75"/>
    <w:rsid w:val="09F56EEF"/>
    <w:rsid w:val="09FA1874"/>
    <w:rsid w:val="09FA7AF8"/>
    <w:rsid w:val="09FC3C1D"/>
    <w:rsid w:val="09FD3B4A"/>
    <w:rsid w:val="0A005A9A"/>
    <w:rsid w:val="0A022F18"/>
    <w:rsid w:val="0A033CB5"/>
    <w:rsid w:val="0A07196E"/>
    <w:rsid w:val="0A08376C"/>
    <w:rsid w:val="0A087C83"/>
    <w:rsid w:val="0A087D73"/>
    <w:rsid w:val="0A093B47"/>
    <w:rsid w:val="0A0A74A3"/>
    <w:rsid w:val="0A0C1136"/>
    <w:rsid w:val="0A110E71"/>
    <w:rsid w:val="0A177331"/>
    <w:rsid w:val="0A1B4E75"/>
    <w:rsid w:val="0A1F71B2"/>
    <w:rsid w:val="0A202CB4"/>
    <w:rsid w:val="0A20564D"/>
    <w:rsid w:val="0A207D41"/>
    <w:rsid w:val="0A234AC7"/>
    <w:rsid w:val="0A240D5E"/>
    <w:rsid w:val="0A260C50"/>
    <w:rsid w:val="0A2629B3"/>
    <w:rsid w:val="0A282E35"/>
    <w:rsid w:val="0A2B02DC"/>
    <w:rsid w:val="0A2B5080"/>
    <w:rsid w:val="0A36051F"/>
    <w:rsid w:val="0A3B6B7D"/>
    <w:rsid w:val="0A415150"/>
    <w:rsid w:val="0A44514C"/>
    <w:rsid w:val="0A4525FD"/>
    <w:rsid w:val="0A4704F5"/>
    <w:rsid w:val="0A470B9D"/>
    <w:rsid w:val="0A471DFB"/>
    <w:rsid w:val="0A483534"/>
    <w:rsid w:val="0A4C3D94"/>
    <w:rsid w:val="0A4D50F9"/>
    <w:rsid w:val="0A500C43"/>
    <w:rsid w:val="0A526373"/>
    <w:rsid w:val="0A583EA1"/>
    <w:rsid w:val="0A5B1AB6"/>
    <w:rsid w:val="0A5E70E2"/>
    <w:rsid w:val="0A6045D0"/>
    <w:rsid w:val="0A605DB9"/>
    <w:rsid w:val="0A626A09"/>
    <w:rsid w:val="0A66028B"/>
    <w:rsid w:val="0A6E5407"/>
    <w:rsid w:val="0A6F5A94"/>
    <w:rsid w:val="0A6F5C4C"/>
    <w:rsid w:val="0A72207A"/>
    <w:rsid w:val="0A7421D9"/>
    <w:rsid w:val="0A7519CC"/>
    <w:rsid w:val="0A7B4640"/>
    <w:rsid w:val="0A7E2AD6"/>
    <w:rsid w:val="0A802300"/>
    <w:rsid w:val="0A80306F"/>
    <w:rsid w:val="0A836C5F"/>
    <w:rsid w:val="0A84576D"/>
    <w:rsid w:val="0A85544A"/>
    <w:rsid w:val="0A861580"/>
    <w:rsid w:val="0A865DC5"/>
    <w:rsid w:val="0A875BB0"/>
    <w:rsid w:val="0A88559F"/>
    <w:rsid w:val="0A891E7F"/>
    <w:rsid w:val="0A8934B5"/>
    <w:rsid w:val="0A8A470B"/>
    <w:rsid w:val="0A8A7657"/>
    <w:rsid w:val="0A8C1B57"/>
    <w:rsid w:val="0A8C4FAB"/>
    <w:rsid w:val="0A907743"/>
    <w:rsid w:val="0A91387E"/>
    <w:rsid w:val="0A920062"/>
    <w:rsid w:val="0A920BD8"/>
    <w:rsid w:val="0A925E26"/>
    <w:rsid w:val="0A9419A5"/>
    <w:rsid w:val="0A9626F1"/>
    <w:rsid w:val="0A9652B2"/>
    <w:rsid w:val="0A973227"/>
    <w:rsid w:val="0A9B4554"/>
    <w:rsid w:val="0A9D29C5"/>
    <w:rsid w:val="0AA14002"/>
    <w:rsid w:val="0AA32BFE"/>
    <w:rsid w:val="0AA46128"/>
    <w:rsid w:val="0AA509D1"/>
    <w:rsid w:val="0AA53FCE"/>
    <w:rsid w:val="0AA93EFC"/>
    <w:rsid w:val="0AA971A9"/>
    <w:rsid w:val="0AAA5B7C"/>
    <w:rsid w:val="0AAD3E50"/>
    <w:rsid w:val="0AAD46D4"/>
    <w:rsid w:val="0AB048B1"/>
    <w:rsid w:val="0AB128EF"/>
    <w:rsid w:val="0AB31D04"/>
    <w:rsid w:val="0AB36D2F"/>
    <w:rsid w:val="0AB6661F"/>
    <w:rsid w:val="0ABD380D"/>
    <w:rsid w:val="0AC179B2"/>
    <w:rsid w:val="0AC2376D"/>
    <w:rsid w:val="0AC31C9C"/>
    <w:rsid w:val="0AC67E91"/>
    <w:rsid w:val="0ACD4428"/>
    <w:rsid w:val="0ACE17D1"/>
    <w:rsid w:val="0ACE1A06"/>
    <w:rsid w:val="0ACE3D28"/>
    <w:rsid w:val="0ADB72D5"/>
    <w:rsid w:val="0AE16075"/>
    <w:rsid w:val="0AE211FD"/>
    <w:rsid w:val="0AE31C10"/>
    <w:rsid w:val="0AE62839"/>
    <w:rsid w:val="0AE678BB"/>
    <w:rsid w:val="0AE76F67"/>
    <w:rsid w:val="0AE85F60"/>
    <w:rsid w:val="0AEC3389"/>
    <w:rsid w:val="0AF24199"/>
    <w:rsid w:val="0AF27D51"/>
    <w:rsid w:val="0AF30B1E"/>
    <w:rsid w:val="0AF82C72"/>
    <w:rsid w:val="0AF97140"/>
    <w:rsid w:val="0AFC1AC4"/>
    <w:rsid w:val="0AFD6034"/>
    <w:rsid w:val="0AFE073A"/>
    <w:rsid w:val="0AFE5DE3"/>
    <w:rsid w:val="0AFE6237"/>
    <w:rsid w:val="0AFE7F50"/>
    <w:rsid w:val="0B017311"/>
    <w:rsid w:val="0B03601F"/>
    <w:rsid w:val="0B0712A2"/>
    <w:rsid w:val="0B0953EE"/>
    <w:rsid w:val="0B0A43DC"/>
    <w:rsid w:val="0B0A6FA4"/>
    <w:rsid w:val="0B0E06B4"/>
    <w:rsid w:val="0B0E103E"/>
    <w:rsid w:val="0B1328CF"/>
    <w:rsid w:val="0B1339E5"/>
    <w:rsid w:val="0B181124"/>
    <w:rsid w:val="0B1A021C"/>
    <w:rsid w:val="0B1A57FD"/>
    <w:rsid w:val="0B1B5B31"/>
    <w:rsid w:val="0B1B79C5"/>
    <w:rsid w:val="0B22442B"/>
    <w:rsid w:val="0B23113F"/>
    <w:rsid w:val="0B2329A7"/>
    <w:rsid w:val="0B263B40"/>
    <w:rsid w:val="0B2742AD"/>
    <w:rsid w:val="0B290C6A"/>
    <w:rsid w:val="0B293319"/>
    <w:rsid w:val="0B2B2A62"/>
    <w:rsid w:val="0B2B6578"/>
    <w:rsid w:val="0B2D61EC"/>
    <w:rsid w:val="0B2E52FA"/>
    <w:rsid w:val="0B30172C"/>
    <w:rsid w:val="0B34237B"/>
    <w:rsid w:val="0B363D46"/>
    <w:rsid w:val="0B376E2C"/>
    <w:rsid w:val="0B377352"/>
    <w:rsid w:val="0B381E7C"/>
    <w:rsid w:val="0B384132"/>
    <w:rsid w:val="0B394FF4"/>
    <w:rsid w:val="0B3A6C2A"/>
    <w:rsid w:val="0B3B2C83"/>
    <w:rsid w:val="0B3C7A41"/>
    <w:rsid w:val="0B3F18B2"/>
    <w:rsid w:val="0B41665E"/>
    <w:rsid w:val="0B423C53"/>
    <w:rsid w:val="0B435A1D"/>
    <w:rsid w:val="0B44470F"/>
    <w:rsid w:val="0B453554"/>
    <w:rsid w:val="0B482B56"/>
    <w:rsid w:val="0B490D54"/>
    <w:rsid w:val="0B490E1C"/>
    <w:rsid w:val="0B497124"/>
    <w:rsid w:val="0B4D2810"/>
    <w:rsid w:val="0B4E0CBA"/>
    <w:rsid w:val="0B4E169F"/>
    <w:rsid w:val="0B4F3D15"/>
    <w:rsid w:val="0B4F5691"/>
    <w:rsid w:val="0B5329F1"/>
    <w:rsid w:val="0B570CB4"/>
    <w:rsid w:val="0B576788"/>
    <w:rsid w:val="0B5833F0"/>
    <w:rsid w:val="0B586A62"/>
    <w:rsid w:val="0B5A03C4"/>
    <w:rsid w:val="0B5C5C9C"/>
    <w:rsid w:val="0B5C7EF2"/>
    <w:rsid w:val="0B612D1E"/>
    <w:rsid w:val="0B621AAA"/>
    <w:rsid w:val="0B666453"/>
    <w:rsid w:val="0B68611C"/>
    <w:rsid w:val="0B6973A9"/>
    <w:rsid w:val="0B6A63D6"/>
    <w:rsid w:val="0B6D0E6C"/>
    <w:rsid w:val="0B7270A8"/>
    <w:rsid w:val="0B7304FB"/>
    <w:rsid w:val="0B736CF4"/>
    <w:rsid w:val="0B7405DF"/>
    <w:rsid w:val="0B741BD5"/>
    <w:rsid w:val="0B7774CA"/>
    <w:rsid w:val="0B796463"/>
    <w:rsid w:val="0B797E2E"/>
    <w:rsid w:val="0B7A27E4"/>
    <w:rsid w:val="0B7B787A"/>
    <w:rsid w:val="0B7E47AC"/>
    <w:rsid w:val="0B7F58DD"/>
    <w:rsid w:val="0B85677E"/>
    <w:rsid w:val="0B8A1FA3"/>
    <w:rsid w:val="0B8A4280"/>
    <w:rsid w:val="0B8A50BD"/>
    <w:rsid w:val="0B8F1C99"/>
    <w:rsid w:val="0B9228D7"/>
    <w:rsid w:val="0B940590"/>
    <w:rsid w:val="0B950D48"/>
    <w:rsid w:val="0B956213"/>
    <w:rsid w:val="0B963C69"/>
    <w:rsid w:val="0B99617E"/>
    <w:rsid w:val="0B9A3852"/>
    <w:rsid w:val="0B9B3242"/>
    <w:rsid w:val="0B9C2E54"/>
    <w:rsid w:val="0BA217D2"/>
    <w:rsid w:val="0BA24F10"/>
    <w:rsid w:val="0BA4432F"/>
    <w:rsid w:val="0BAD1031"/>
    <w:rsid w:val="0BAD6E41"/>
    <w:rsid w:val="0BAF60F1"/>
    <w:rsid w:val="0BB17F7D"/>
    <w:rsid w:val="0BB54883"/>
    <w:rsid w:val="0BBA025A"/>
    <w:rsid w:val="0BBA4F43"/>
    <w:rsid w:val="0BBF28E6"/>
    <w:rsid w:val="0BC45220"/>
    <w:rsid w:val="0BD130C2"/>
    <w:rsid w:val="0BD43A30"/>
    <w:rsid w:val="0BD6023E"/>
    <w:rsid w:val="0BD92906"/>
    <w:rsid w:val="0BDA4CC9"/>
    <w:rsid w:val="0BDB0FAD"/>
    <w:rsid w:val="0BDD3744"/>
    <w:rsid w:val="0BDE26E3"/>
    <w:rsid w:val="0BDF289E"/>
    <w:rsid w:val="0BE3421B"/>
    <w:rsid w:val="0BE36CD8"/>
    <w:rsid w:val="0BE677C1"/>
    <w:rsid w:val="0BE747BD"/>
    <w:rsid w:val="0BE826C8"/>
    <w:rsid w:val="0BE87393"/>
    <w:rsid w:val="0BEE5C2F"/>
    <w:rsid w:val="0BEF6731"/>
    <w:rsid w:val="0BF25093"/>
    <w:rsid w:val="0BF422AE"/>
    <w:rsid w:val="0BF47776"/>
    <w:rsid w:val="0BF8069F"/>
    <w:rsid w:val="0BF8677D"/>
    <w:rsid w:val="0BFA4304"/>
    <w:rsid w:val="0BFD47D4"/>
    <w:rsid w:val="0BFE1EE5"/>
    <w:rsid w:val="0C00144F"/>
    <w:rsid w:val="0C0051E2"/>
    <w:rsid w:val="0C010F9D"/>
    <w:rsid w:val="0C023184"/>
    <w:rsid w:val="0C08165A"/>
    <w:rsid w:val="0C0832D8"/>
    <w:rsid w:val="0C0A6B7D"/>
    <w:rsid w:val="0C0C0CE5"/>
    <w:rsid w:val="0C0D5727"/>
    <w:rsid w:val="0C0F2B8B"/>
    <w:rsid w:val="0C1009DE"/>
    <w:rsid w:val="0C1107A0"/>
    <w:rsid w:val="0C1A6400"/>
    <w:rsid w:val="0C1D50A3"/>
    <w:rsid w:val="0C213B49"/>
    <w:rsid w:val="0C21754B"/>
    <w:rsid w:val="0C222C14"/>
    <w:rsid w:val="0C241D2B"/>
    <w:rsid w:val="0C2513B7"/>
    <w:rsid w:val="0C2819F7"/>
    <w:rsid w:val="0C2A4BBC"/>
    <w:rsid w:val="0C2A51DB"/>
    <w:rsid w:val="0C2B7BDC"/>
    <w:rsid w:val="0C3268C6"/>
    <w:rsid w:val="0C342F84"/>
    <w:rsid w:val="0C371BD6"/>
    <w:rsid w:val="0C376742"/>
    <w:rsid w:val="0C414E31"/>
    <w:rsid w:val="0C442BE8"/>
    <w:rsid w:val="0C454A10"/>
    <w:rsid w:val="0C480EFC"/>
    <w:rsid w:val="0C4A1E9D"/>
    <w:rsid w:val="0C4A40EC"/>
    <w:rsid w:val="0C4D1762"/>
    <w:rsid w:val="0C4E0BA6"/>
    <w:rsid w:val="0C50077E"/>
    <w:rsid w:val="0C560795"/>
    <w:rsid w:val="0C576993"/>
    <w:rsid w:val="0C5826A7"/>
    <w:rsid w:val="0C596ABF"/>
    <w:rsid w:val="0C5A53D0"/>
    <w:rsid w:val="0C5E1412"/>
    <w:rsid w:val="0C5F251B"/>
    <w:rsid w:val="0C6073CF"/>
    <w:rsid w:val="0C616D3C"/>
    <w:rsid w:val="0C674181"/>
    <w:rsid w:val="0C692E99"/>
    <w:rsid w:val="0C6E4359"/>
    <w:rsid w:val="0C701195"/>
    <w:rsid w:val="0C706BD3"/>
    <w:rsid w:val="0C7121A1"/>
    <w:rsid w:val="0C7523EF"/>
    <w:rsid w:val="0C760FB2"/>
    <w:rsid w:val="0C76120D"/>
    <w:rsid w:val="0C770114"/>
    <w:rsid w:val="0C7748E2"/>
    <w:rsid w:val="0C7A5A2F"/>
    <w:rsid w:val="0C800964"/>
    <w:rsid w:val="0C8107EB"/>
    <w:rsid w:val="0C825688"/>
    <w:rsid w:val="0C8611A1"/>
    <w:rsid w:val="0C86408F"/>
    <w:rsid w:val="0C89154B"/>
    <w:rsid w:val="0C8C36A9"/>
    <w:rsid w:val="0C9300EB"/>
    <w:rsid w:val="0C947986"/>
    <w:rsid w:val="0C97108A"/>
    <w:rsid w:val="0C97628F"/>
    <w:rsid w:val="0C991D16"/>
    <w:rsid w:val="0C992596"/>
    <w:rsid w:val="0C9939FD"/>
    <w:rsid w:val="0C9A535B"/>
    <w:rsid w:val="0C9C1482"/>
    <w:rsid w:val="0CA01DB2"/>
    <w:rsid w:val="0CA05357"/>
    <w:rsid w:val="0CA15210"/>
    <w:rsid w:val="0CA42E72"/>
    <w:rsid w:val="0CA91B5E"/>
    <w:rsid w:val="0CAB7D87"/>
    <w:rsid w:val="0CAD68BD"/>
    <w:rsid w:val="0CAE358D"/>
    <w:rsid w:val="0CAF3A94"/>
    <w:rsid w:val="0CB03C2B"/>
    <w:rsid w:val="0CB10779"/>
    <w:rsid w:val="0CB14576"/>
    <w:rsid w:val="0CB174D1"/>
    <w:rsid w:val="0CB23939"/>
    <w:rsid w:val="0CB42251"/>
    <w:rsid w:val="0CB63559"/>
    <w:rsid w:val="0CB76C66"/>
    <w:rsid w:val="0CB9587D"/>
    <w:rsid w:val="0CBD544E"/>
    <w:rsid w:val="0CD07B08"/>
    <w:rsid w:val="0CD16720"/>
    <w:rsid w:val="0CD2558B"/>
    <w:rsid w:val="0CD41289"/>
    <w:rsid w:val="0CD42114"/>
    <w:rsid w:val="0CD53141"/>
    <w:rsid w:val="0CD73A76"/>
    <w:rsid w:val="0CD75DCD"/>
    <w:rsid w:val="0CDA6E40"/>
    <w:rsid w:val="0CDC2B23"/>
    <w:rsid w:val="0CDC40BD"/>
    <w:rsid w:val="0CDE723B"/>
    <w:rsid w:val="0CE5651A"/>
    <w:rsid w:val="0CE93A49"/>
    <w:rsid w:val="0CF137B6"/>
    <w:rsid w:val="0CF21BD0"/>
    <w:rsid w:val="0CF42C3F"/>
    <w:rsid w:val="0CF47A2C"/>
    <w:rsid w:val="0CF50F9F"/>
    <w:rsid w:val="0CFB4E1E"/>
    <w:rsid w:val="0CFC3531"/>
    <w:rsid w:val="0CFE2E9B"/>
    <w:rsid w:val="0CFF54BA"/>
    <w:rsid w:val="0D044175"/>
    <w:rsid w:val="0D0864BC"/>
    <w:rsid w:val="0D0C0872"/>
    <w:rsid w:val="0D0D11AE"/>
    <w:rsid w:val="0D0D1DC4"/>
    <w:rsid w:val="0D0D7E25"/>
    <w:rsid w:val="0D111AA3"/>
    <w:rsid w:val="0D1333B9"/>
    <w:rsid w:val="0D1572F5"/>
    <w:rsid w:val="0D182EC3"/>
    <w:rsid w:val="0D19247F"/>
    <w:rsid w:val="0D1A424C"/>
    <w:rsid w:val="0D1C009E"/>
    <w:rsid w:val="0D1E4BFB"/>
    <w:rsid w:val="0D1F4458"/>
    <w:rsid w:val="0D251E66"/>
    <w:rsid w:val="0D271482"/>
    <w:rsid w:val="0D28023F"/>
    <w:rsid w:val="0D2A3147"/>
    <w:rsid w:val="0D30289A"/>
    <w:rsid w:val="0D3049A8"/>
    <w:rsid w:val="0D314A71"/>
    <w:rsid w:val="0D345031"/>
    <w:rsid w:val="0D350CBD"/>
    <w:rsid w:val="0D3640AA"/>
    <w:rsid w:val="0D365695"/>
    <w:rsid w:val="0D373C3C"/>
    <w:rsid w:val="0D3757FB"/>
    <w:rsid w:val="0D381D37"/>
    <w:rsid w:val="0D3C2C30"/>
    <w:rsid w:val="0D3D68D6"/>
    <w:rsid w:val="0D3E4155"/>
    <w:rsid w:val="0D3E6131"/>
    <w:rsid w:val="0D3F1B90"/>
    <w:rsid w:val="0D3F2A32"/>
    <w:rsid w:val="0D4033B3"/>
    <w:rsid w:val="0D403417"/>
    <w:rsid w:val="0D436B44"/>
    <w:rsid w:val="0D4371AC"/>
    <w:rsid w:val="0D4922A7"/>
    <w:rsid w:val="0D4B0AFE"/>
    <w:rsid w:val="0D4D34C0"/>
    <w:rsid w:val="0D4F1AD5"/>
    <w:rsid w:val="0D5633F2"/>
    <w:rsid w:val="0D5873CB"/>
    <w:rsid w:val="0D5B4D71"/>
    <w:rsid w:val="0D5E4635"/>
    <w:rsid w:val="0D611564"/>
    <w:rsid w:val="0D612859"/>
    <w:rsid w:val="0D64569B"/>
    <w:rsid w:val="0D645833"/>
    <w:rsid w:val="0D6663C8"/>
    <w:rsid w:val="0D667093"/>
    <w:rsid w:val="0D667243"/>
    <w:rsid w:val="0D682047"/>
    <w:rsid w:val="0D695C2A"/>
    <w:rsid w:val="0D6B5CC5"/>
    <w:rsid w:val="0D7015D5"/>
    <w:rsid w:val="0D701623"/>
    <w:rsid w:val="0D714F5E"/>
    <w:rsid w:val="0D753E85"/>
    <w:rsid w:val="0D77297F"/>
    <w:rsid w:val="0D78789A"/>
    <w:rsid w:val="0D79628D"/>
    <w:rsid w:val="0D7E4D9C"/>
    <w:rsid w:val="0D800091"/>
    <w:rsid w:val="0D8054FE"/>
    <w:rsid w:val="0D81063A"/>
    <w:rsid w:val="0D817EE5"/>
    <w:rsid w:val="0D837133"/>
    <w:rsid w:val="0D861CF4"/>
    <w:rsid w:val="0D8633D2"/>
    <w:rsid w:val="0D891C59"/>
    <w:rsid w:val="0D8A24CD"/>
    <w:rsid w:val="0D8A3E4B"/>
    <w:rsid w:val="0D8B156B"/>
    <w:rsid w:val="0D8B3BFF"/>
    <w:rsid w:val="0D8E2765"/>
    <w:rsid w:val="0D8E7AA0"/>
    <w:rsid w:val="0D8F0536"/>
    <w:rsid w:val="0D900DFF"/>
    <w:rsid w:val="0D90140E"/>
    <w:rsid w:val="0D9036BE"/>
    <w:rsid w:val="0D927F3B"/>
    <w:rsid w:val="0D934D95"/>
    <w:rsid w:val="0D93625E"/>
    <w:rsid w:val="0D963A57"/>
    <w:rsid w:val="0D972152"/>
    <w:rsid w:val="0D982420"/>
    <w:rsid w:val="0D993E1B"/>
    <w:rsid w:val="0D9D7612"/>
    <w:rsid w:val="0D9F1829"/>
    <w:rsid w:val="0D9F6628"/>
    <w:rsid w:val="0DA42FF5"/>
    <w:rsid w:val="0DA53DCE"/>
    <w:rsid w:val="0DA800F0"/>
    <w:rsid w:val="0DAA3C12"/>
    <w:rsid w:val="0DAB3478"/>
    <w:rsid w:val="0DAF6058"/>
    <w:rsid w:val="0DB014D6"/>
    <w:rsid w:val="0DB04172"/>
    <w:rsid w:val="0DB253BB"/>
    <w:rsid w:val="0DB44857"/>
    <w:rsid w:val="0DB738BA"/>
    <w:rsid w:val="0DB755FA"/>
    <w:rsid w:val="0DBA3BBF"/>
    <w:rsid w:val="0DBC009C"/>
    <w:rsid w:val="0DBE2BEA"/>
    <w:rsid w:val="0DBE669A"/>
    <w:rsid w:val="0DC24250"/>
    <w:rsid w:val="0DC46E02"/>
    <w:rsid w:val="0DC62B37"/>
    <w:rsid w:val="0DCA0FE3"/>
    <w:rsid w:val="0DCA4867"/>
    <w:rsid w:val="0DCB6E71"/>
    <w:rsid w:val="0DCD279A"/>
    <w:rsid w:val="0DCF158F"/>
    <w:rsid w:val="0DD4053A"/>
    <w:rsid w:val="0DD719D6"/>
    <w:rsid w:val="0DDA58DF"/>
    <w:rsid w:val="0DDB5BDB"/>
    <w:rsid w:val="0DDD0349"/>
    <w:rsid w:val="0DE2734E"/>
    <w:rsid w:val="0DE72467"/>
    <w:rsid w:val="0DE91071"/>
    <w:rsid w:val="0DEA6DDA"/>
    <w:rsid w:val="0DEB1BB0"/>
    <w:rsid w:val="0DED77AD"/>
    <w:rsid w:val="0DEE0BEC"/>
    <w:rsid w:val="0DEF2D72"/>
    <w:rsid w:val="0DF24845"/>
    <w:rsid w:val="0DF345B8"/>
    <w:rsid w:val="0DFA7A76"/>
    <w:rsid w:val="0DFB4D82"/>
    <w:rsid w:val="0DFD6FE5"/>
    <w:rsid w:val="0E01498D"/>
    <w:rsid w:val="0E0A790E"/>
    <w:rsid w:val="0E0B47C5"/>
    <w:rsid w:val="0E0E1817"/>
    <w:rsid w:val="0E0F04D8"/>
    <w:rsid w:val="0E0F5429"/>
    <w:rsid w:val="0E127C0F"/>
    <w:rsid w:val="0E1572BC"/>
    <w:rsid w:val="0E1E5B97"/>
    <w:rsid w:val="0E2264B7"/>
    <w:rsid w:val="0E2339D0"/>
    <w:rsid w:val="0E23636D"/>
    <w:rsid w:val="0E262E6D"/>
    <w:rsid w:val="0E297D45"/>
    <w:rsid w:val="0E2A1052"/>
    <w:rsid w:val="0E2B6DFE"/>
    <w:rsid w:val="0E2C040A"/>
    <w:rsid w:val="0E2D30BF"/>
    <w:rsid w:val="0E2E36B1"/>
    <w:rsid w:val="0E2F5212"/>
    <w:rsid w:val="0E304CB5"/>
    <w:rsid w:val="0E307385"/>
    <w:rsid w:val="0E3074B1"/>
    <w:rsid w:val="0E327C14"/>
    <w:rsid w:val="0E33619C"/>
    <w:rsid w:val="0E362431"/>
    <w:rsid w:val="0E39613D"/>
    <w:rsid w:val="0E3976D8"/>
    <w:rsid w:val="0E3C296D"/>
    <w:rsid w:val="0E3E262F"/>
    <w:rsid w:val="0E4229AF"/>
    <w:rsid w:val="0E4422ED"/>
    <w:rsid w:val="0E4559F5"/>
    <w:rsid w:val="0E4A36FF"/>
    <w:rsid w:val="0E4A4304"/>
    <w:rsid w:val="0E4B42E0"/>
    <w:rsid w:val="0E4C0323"/>
    <w:rsid w:val="0E4C3B06"/>
    <w:rsid w:val="0E515C44"/>
    <w:rsid w:val="0E515EF5"/>
    <w:rsid w:val="0E524EBB"/>
    <w:rsid w:val="0E5507BD"/>
    <w:rsid w:val="0E565047"/>
    <w:rsid w:val="0E5A60BE"/>
    <w:rsid w:val="0E5D7E81"/>
    <w:rsid w:val="0E614FA4"/>
    <w:rsid w:val="0E63685F"/>
    <w:rsid w:val="0E64204E"/>
    <w:rsid w:val="0E653584"/>
    <w:rsid w:val="0E661480"/>
    <w:rsid w:val="0E661CCA"/>
    <w:rsid w:val="0E6665CB"/>
    <w:rsid w:val="0E674A70"/>
    <w:rsid w:val="0E6F0111"/>
    <w:rsid w:val="0E705DF1"/>
    <w:rsid w:val="0E7212C4"/>
    <w:rsid w:val="0E7222B2"/>
    <w:rsid w:val="0E731BF2"/>
    <w:rsid w:val="0E743C14"/>
    <w:rsid w:val="0E75350E"/>
    <w:rsid w:val="0E754C1F"/>
    <w:rsid w:val="0E767603"/>
    <w:rsid w:val="0E772C00"/>
    <w:rsid w:val="0E7A4D61"/>
    <w:rsid w:val="0E7F3057"/>
    <w:rsid w:val="0E8353B6"/>
    <w:rsid w:val="0E83550B"/>
    <w:rsid w:val="0E873561"/>
    <w:rsid w:val="0E885EC6"/>
    <w:rsid w:val="0E8E4E98"/>
    <w:rsid w:val="0E951887"/>
    <w:rsid w:val="0E95408F"/>
    <w:rsid w:val="0E963ED3"/>
    <w:rsid w:val="0E9749BD"/>
    <w:rsid w:val="0E9A12D4"/>
    <w:rsid w:val="0E9B04BA"/>
    <w:rsid w:val="0EA05ED7"/>
    <w:rsid w:val="0EA377C8"/>
    <w:rsid w:val="0EA80B01"/>
    <w:rsid w:val="0EA83614"/>
    <w:rsid w:val="0EA87339"/>
    <w:rsid w:val="0EAA6D78"/>
    <w:rsid w:val="0EAB1C03"/>
    <w:rsid w:val="0EAB2F51"/>
    <w:rsid w:val="0EAD19A4"/>
    <w:rsid w:val="0EAD6D55"/>
    <w:rsid w:val="0EAE03A7"/>
    <w:rsid w:val="0EAE5AC3"/>
    <w:rsid w:val="0EAF1504"/>
    <w:rsid w:val="0EB30DBA"/>
    <w:rsid w:val="0EB40A14"/>
    <w:rsid w:val="0EB66109"/>
    <w:rsid w:val="0EBA39C1"/>
    <w:rsid w:val="0EBB7099"/>
    <w:rsid w:val="0EC526E1"/>
    <w:rsid w:val="0EC638C2"/>
    <w:rsid w:val="0EC94A32"/>
    <w:rsid w:val="0EC9759B"/>
    <w:rsid w:val="0ECA7D71"/>
    <w:rsid w:val="0ECF60B3"/>
    <w:rsid w:val="0ED019B7"/>
    <w:rsid w:val="0EDA2344"/>
    <w:rsid w:val="0EDC567D"/>
    <w:rsid w:val="0EDC5E31"/>
    <w:rsid w:val="0EDF0CFF"/>
    <w:rsid w:val="0EE136D1"/>
    <w:rsid w:val="0EE23F35"/>
    <w:rsid w:val="0EE24A6D"/>
    <w:rsid w:val="0EE25426"/>
    <w:rsid w:val="0EE25C32"/>
    <w:rsid w:val="0EE45699"/>
    <w:rsid w:val="0EE76E88"/>
    <w:rsid w:val="0EEA1776"/>
    <w:rsid w:val="0EED4F4B"/>
    <w:rsid w:val="0EEF06A5"/>
    <w:rsid w:val="0EEF2985"/>
    <w:rsid w:val="0EF03A27"/>
    <w:rsid w:val="0EF52332"/>
    <w:rsid w:val="0EF82681"/>
    <w:rsid w:val="0EFD31E6"/>
    <w:rsid w:val="0EFD5A81"/>
    <w:rsid w:val="0EFD5CFF"/>
    <w:rsid w:val="0F005522"/>
    <w:rsid w:val="0F027B23"/>
    <w:rsid w:val="0F055329"/>
    <w:rsid w:val="0F066DC7"/>
    <w:rsid w:val="0F0804E4"/>
    <w:rsid w:val="0F086E66"/>
    <w:rsid w:val="0F0C1A63"/>
    <w:rsid w:val="0F0C6841"/>
    <w:rsid w:val="0F0F575F"/>
    <w:rsid w:val="0F100C23"/>
    <w:rsid w:val="0F113196"/>
    <w:rsid w:val="0F116CEE"/>
    <w:rsid w:val="0F1175D5"/>
    <w:rsid w:val="0F1526AB"/>
    <w:rsid w:val="0F160340"/>
    <w:rsid w:val="0F160C1D"/>
    <w:rsid w:val="0F1A08BC"/>
    <w:rsid w:val="0F1C412A"/>
    <w:rsid w:val="0F1C5D1A"/>
    <w:rsid w:val="0F200524"/>
    <w:rsid w:val="0F2046E7"/>
    <w:rsid w:val="0F2255A2"/>
    <w:rsid w:val="0F236E89"/>
    <w:rsid w:val="0F237AE3"/>
    <w:rsid w:val="0F2646EB"/>
    <w:rsid w:val="0F266CDB"/>
    <w:rsid w:val="0F274C64"/>
    <w:rsid w:val="0F2A38DC"/>
    <w:rsid w:val="0F317BDB"/>
    <w:rsid w:val="0F323162"/>
    <w:rsid w:val="0F324ABF"/>
    <w:rsid w:val="0F357C6A"/>
    <w:rsid w:val="0F364F6D"/>
    <w:rsid w:val="0F383D60"/>
    <w:rsid w:val="0F3849D2"/>
    <w:rsid w:val="0F384FBB"/>
    <w:rsid w:val="0F3D1AC7"/>
    <w:rsid w:val="0F40280B"/>
    <w:rsid w:val="0F404622"/>
    <w:rsid w:val="0F40543C"/>
    <w:rsid w:val="0F420C2B"/>
    <w:rsid w:val="0F451576"/>
    <w:rsid w:val="0F467C06"/>
    <w:rsid w:val="0F490EC4"/>
    <w:rsid w:val="0F4A7410"/>
    <w:rsid w:val="0F4B4878"/>
    <w:rsid w:val="0F4F4B4B"/>
    <w:rsid w:val="0F517EBF"/>
    <w:rsid w:val="0F5923D0"/>
    <w:rsid w:val="0F5A1BFA"/>
    <w:rsid w:val="0F5B030C"/>
    <w:rsid w:val="0F5B10B6"/>
    <w:rsid w:val="0F5D0475"/>
    <w:rsid w:val="0F5D33E0"/>
    <w:rsid w:val="0F6010AE"/>
    <w:rsid w:val="0F6012D0"/>
    <w:rsid w:val="0F650CC0"/>
    <w:rsid w:val="0F662CE2"/>
    <w:rsid w:val="0F6836D4"/>
    <w:rsid w:val="0F684210"/>
    <w:rsid w:val="0F6976B4"/>
    <w:rsid w:val="0F6B005C"/>
    <w:rsid w:val="0F6B16E3"/>
    <w:rsid w:val="0F6F73BA"/>
    <w:rsid w:val="0F703DC3"/>
    <w:rsid w:val="0F707CB8"/>
    <w:rsid w:val="0F7368E4"/>
    <w:rsid w:val="0F783FEF"/>
    <w:rsid w:val="0F7D43BA"/>
    <w:rsid w:val="0F8051B5"/>
    <w:rsid w:val="0F812823"/>
    <w:rsid w:val="0F853CE2"/>
    <w:rsid w:val="0F8608F7"/>
    <w:rsid w:val="0F8A662B"/>
    <w:rsid w:val="0F8D3E7F"/>
    <w:rsid w:val="0F8D3E8A"/>
    <w:rsid w:val="0F8D570F"/>
    <w:rsid w:val="0F9059FF"/>
    <w:rsid w:val="0F946ED1"/>
    <w:rsid w:val="0F960E91"/>
    <w:rsid w:val="0F97350E"/>
    <w:rsid w:val="0F9B0B4C"/>
    <w:rsid w:val="0F9E1B3D"/>
    <w:rsid w:val="0FA10AFA"/>
    <w:rsid w:val="0FA4703F"/>
    <w:rsid w:val="0FA635D7"/>
    <w:rsid w:val="0FA72249"/>
    <w:rsid w:val="0FA7257E"/>
    <w:rsid w:val="0FA777DE"/>
    <w:rsid w:val="0FAB679F"/>
    <w:rsid w:val="0FAC19C1"/>
    <w:rsid w:val="0FAD1FA2"/>
    <w:rsid w:val="0FAD6C66"/>
    <w:rsid w:val="0FAE6B73"/>
    <w:rsid w:val="0FB63C35"/>
    <w:rsid w:val="0FB67CFC"/>
    <w:rsid w:val="0FB822E5"/>
    <w:rsid w:val="0FBA1DC4"/>
    <w:rsid w:val="0FBB2303"/>
    <w:rsid w:val="0FBE1377"/>
    <w:rsid w:val="0FBE17C9"/>
    <w:rsid w:val="0FC159E9"/>
    <w:rsid w:val="0FC204FB"/>
    <w:rsid w:val="0FC62FCF"/>
    <w:rsid w:val="0FC81881"/>
    <w:rsid w:val="0FC822AB"/>
    <w:rsid w:val="0FC979D9"/>
    <w:rsid w:val="0FCB0E0B"/>
    <w:rsid w:val="0FCD08CA"/>
    <w:rsid w:val="0FCE5CD3"/>
    <w:rsid w:val="0FD23901"/>
    <w:rsid w:val="0FD30D79"/>
    <w:rsid w:val="0FD57E61"/>
    <w:rsid w:val="0FD60E3C"/>
    <w:rsid w:val="0FD74484"/>
    <w:rsid w:val="0FD806E5"/>
    <w:rsid w:val="0FDA267A"/>
    <w:rsid w:val="0FE50EF0"/>
    <w:rsid w:val="0FE85872"/>
    <w:rsid w:val="0FEA1DC4"/>
    <w:rsid w:val="0FEC1205"/>
    <w:rsid w:val="0FED4515"/>
    <w:rsid w:val="0FEF1B8F"/>
    <w:rsid w:val="0FF00F15"/>
    <w:rsid w:val="0FF35254"/>
    <w:rsid w:val="0FFA02B6"/>
    <w:rsid w:val="0FFD1185"/>
    <w:rsid w:val="0FFD25DD"/>
    <w:rsid w:val="10015AF8"/>
    <w:rsid w:val="1002219F"/>
    <w:rsid w:val="100711FE"/>
    <w:rsid w:val="100840C2"/>
    <w:rsid w:val="100F65F2"/>
    <w:rsid w:val="10102BD2"/>
    <w:rsid w:val="101224FB"/>
    <w:rsid w:val="101341AB"/>
    <w:rsid w:val="10172036"/>
    <w:rsid w:val="101B4E3F"/>
    <w:rsid w:val="101B62FC"/>
    <w:rsid w:val="101F642E"/>
    <w:rsid w:val="102343B3"/>
    <w:rsid w:val="10271370"/>
    <w:rsid w:val="10275E50"/>
    <w:rsid w:val="102913E6"/>
    <w:rsid w:val="10294A87"/>
    <w:rsid w:val="102B1D3B"/>
    <w:rsid w:val="102B62A4"/>
    <w:rsid w:val="102E2750"/>
    <w:rsid w:val="102F2A7F"/>
    <w:rsid w:val="10351A70"/>
    <w:rsid w:val="103701AC"/>
    <w:rsid w:val="103779D0"/>
    <w:rsid w:val="1039726E"/>
    <w:rsid w:val="103A1A52"/>
    <w:rsid w:val="10446134"/>
    <w:rsid w:val="104C4F99"/>
    <w:rsid w:val="104D35C0"/>
    <w:rsid w:val="10500363"/>
    <w:rsid w:val="10596867"/>
    <w:rsid w:val="105D1E6E"/>
    <w:rsid w:val="105F36CF"/>
    <w:rsid w:val="10600013"/>
    <w:rsid w:val="10604CF2"/>
    <w:rsid w:val="10625F3F"/>
    <w:rsid w:val="10634BC9"/>
    <w:rsid w:val="1069735C"/>
    <w:rsid w:val="106D0583"/>
    <w:rsid w:val="106E7B67"/>
    <w:rsid w:val="106F53AE"/>
    <w:rsid w:val="10706349"/>
    <w:rsid w:val="10736D36"/>
    <w:rsid w:val="10764C43"/>
    <w:rsid w:val="107860C4"/>
    <w:rsid w:val="10790C54"/>
    <w:rsid w:val="107B0246"/>
    <w:rsid w:val="107B6496"/>
    <w:rsid w:val="107F2ECE"/>
    <w:rsid w:val="109243D8"/>
    <w:rsid w:val="10927101"/>
    <w:rsid w:val="109649C8"/>
    <w:rsid w:val="10984271"/>
    <w:rsid w:val="1099726E"/>
    <w:rsid w:val="109C2FAF"/>
    <w:rsid w:val="10A00843"/>
    <w:rsid w:val="10A15864"/>
    <w:rsid w:val="10A561F7"/>
    <w:rsid w:val="10A67DA0"/>
    <w:rsid w:val="10A70031"/>
    <w:rsid w:val="10A76408"/>
    <w:rsid w:val="10AD7901"/>
    <w:rsid w:val="10B007CA"/>
    <w:rsid w:val="10B47233"/>
    <w:rsid w:val="10B74667"/>
    <w:rsid w:val="10BA47FE"/>
    <w:rsid w:val="10BB30E7"/>
    <w:rsid w:val="10BE0C3C"/>
    <w:rsid w:val="10BE19E9"/>
    <w:rsid w:val="10BE2211"/>
    <w:rsid w:val="10BF08EB"/>
    <w:rsid w:val="10C25A99"/>
    <w:rsid w:val="10C8091E"/>
    <w:rsid w:val="10C919A9"/>
    <w:rsid w:val="10CA1896"/>
    <w:rsid w:val="10CC5795"/>
    <w:rsid w:val="10CD579A"/>
    <w:rsid w:val="10D006F0"/>
    <w:rsid w:val="10D043A6"/>
    <w:rsid w:val="10D11248"/>
    <w:rsid w:val="10D33F21"/>
    <w:rsid w:val="10D6083E"/>
    <w:rsid w:val="10D71EE2"/>
    <w:rsid w:val="10D97288"/>
    <w:rsid w:val="10DA1E91"/>
    <w:rsid w:val="10DB4CDE"/>
    <w:rsid w:val="10E15E37"/>
    <w:rsid w:val="10E26FF9"/>
    <w:rsid w:val="10E3067C"/>
    <w:rsid w:val="10E7320E"/>
    <w:rsid w:val="10E97A01"/>
    <w:rsid w:val="10EA63F3"/>
    <w:rsid w:val="10EA7758"/>
    <w:rsid w:val="10EB785A"/>
    <w:rsid w:val="10EC2739"/>
    <w:rsid w:val="10F853E9"/>
    <w:rsid w:val="10FC3BD5"/>
    <w:rsid w:val="10FE484C"/>
    <w:rsid w:val="10FF1738"/>
    <w:rsid w:val="11001784"/>
    <w:rsid w:val="11004D0D"/>
    <w:rsid w:val="110533AA"/>
    <w:rsid w:val="11072203"/>
    <w:rsid w:val="110B084A"/>
    <w:rsid w:val="110B43E3"/>
    <w:rsid w:val="110C4F77"/>
    <w:rsid w:val="1110068C"/>
    <w:rsid w:val="11126605"/>
    <w:rsid w:val="111A5B16"/>
    <w:rsid w:val="111B19DB"/>
    <w:rsid w:val="11225A3E"/>
    <w:rsid w:val="112649DF"/>
    <w:rsid w:val="112956DE"/>
    <w:rsid w:val="112B767D"/>
    <w:rsid w:val="112C224B"/>
    <w:rsid w:val="112D13DD"/>
    <w:rsid w:val="112D202F"/>
    <w:rsid w:val="112E78AF"/>
    <w:rsid w:val="11306B19"/>
    <w:rsid w:val="113218B8"/>
    <w:rsid w:val="11324338"/>
    <w:rsid w:val="11342C52"/>
    <w:rsid w:val="1134705E"/>
    <w:rsid w:val="113476F6"/>
    <w:rsid w:val="11364604"/>
    <w:rsid w:val="11394EA2"/>
    <w:rsid w:val="113A5B0C"/>
    <w:rsid w:val="113B3799"/>
    <w:rsid w:val="113B679B"/>
    <w:rsid w:val="113D12A6"/>
    <w:rsid w:val="113F438B"/>
    <w:rsid w:val="11407EF6"/>
    <w:rsid w:val="114352A4"/>
    <w:rsid w:val="114622C2"/>
    <w:rsid w:val="114743E4"/>
    <w:rsid w:val="114861AF"/>
    <w:rsid w:val="114A1F6A"/>
    <w:rsid w:val="114E2C6B"/>
    <w:rsid w:val="115243D7"/>
    <w:rsid w:val="11547C51"/>
    <w:rsid w:val="11560C47"/>
    <w:rsid w:val="1158482C"/>
    <w:rsid w:val="1158689E"/>
    <w:rsid w:val="1159136A"/>
    <w:rsid w:val="115940E7"/>
    <w:rsid w:val="115D4000"/>
    <w:rsid w:val="11622E8C"/>
    <w:rsid w:val="11625AFA"/>
    <w:rsid w:val="11627605"/>
    <w:rsid w:val="11680BC4"/>
    <w:rsid w:val="116A4AA3"/>
    <w:rsid w:val="117009B9"/>
    <w:rsid w:val="1170117B"/>
    <w:rsid w:val="11701C53"/>
    <w:rsid w:val="11703BE8"/>
    <w:rsid w:val="117170D3"/>
    <w:rsid w:val="117222FA"/>
    <w:rsid w:val="11734C8B"/>
    <w:rsid w:val="1175604A"/>
    <w:rsid w:val="11760596"/>
    <w:rsid w:val="11771F0E"/>
    <w:rsid w:val="117B22A6"/>
    <w:rsid w:val="117E13FF"/>
    <w:rsid w:val="1184208E"/>
    <w:rsid w:val="118458EE"/>
    <w:rsid w:val="11866E77"/>
    <w:rsid w:val="1188176F"/>
    <w:rsid w:val="11881B0C"/>
    <w:rsid w:val="1188687E"/>
    <w:rsid w:val="118A33F8"/>
    <w:rsid w:val="118F7D99"/>
    <w:rsid w:val="11920E5F"/>
    <w:rsid w:val="11934F02"/>
    <w:rsid w:val="119665E0"/>
    <w:rsid w:val="119753CD"/>
    <w:rsid w:val="119C0F21"/>
    <w:rsid w:val="119C15D6"/>
    <w:rsid w:val="11A00034"/>
    <w:rsid w:val="11A23529"/>
    <w:rsid w:val="11A3779A"/>
    <w:rsid w:val="11A463F4"/>
    <w:rsid w:val="11AA1637"/>
    <w:rsid w:val="11AC3603"/>
    <w:rsid w:val="11AC5C54"/>
    <w:rsid w:val="11AF0515"/>
    <w:rsid w:val="11B067DB"/>
    <w:rsid w:val="11B27C4E"/>
    <w:rsid w:val="11BA2034"/>
    <w:rsid w:val="11BB68C6"/>
    <w:rsid w:val="11BC202C"/>
    <w:rsid w:val="11BF5C07"/>
    <w:rsid w:val="11BF760B"/>
    <w:rsid w:val="11C031B8"/>
    <w:rsid w:val="11C150E4"/>
    <w:rsid w:val="11C2357A"/>
    <w:rsid w:val="11C379C6"/>
    <w:rsid w:val="11C44ABF"/>
    <w:rsid w:val="11C67C2D"/>
    <w:rsid w:val="11C84C61"/>
    <w:rsid w:val="11C932B2"/>
    <w:rsid w:val="11CA211B"/>
    <w:rsid w:val="11CF2635"/>
    <w:rsid w:val="11CF5FC0"/>
    <w:rsid w:val="11D07885"/>
    <w:rsid w:val="11D57AC6"/>
    <w:rsid w:val="11D86F80"/>
    <w:rsid w:val="11DA0980"/>
    <w:rsid w:val="11DA49DD"/>
    <w:rsid w:val="11DC55DA"/>
    <w:rsid w:val="11DD3BE4"/>
    <w:rsid w:val="11E11F3C"/>
    <w:rsid w:val="11E13C50"/>
    <w:rsid w:val="11E50DA4"/>
    <w:rsid w:val="11EA5279"/>
    <w:rsid w:val="11EC5B19"/>
    <w:rsid w:val="11F35551"/>
    <w:rsid w:val="11F63862"/>
    <w:rsid w:val="11F813CA"/>
    <w:rsid w:val="11F82530"/>
    <w:rsid w:val="11FA553E"/>
    <w:rsid w:val="11FB7D78"/>
    <w:rsid w:val="11FF5BA8"/>
    <w:rsid w:val="12006644"/>
    <w:rsid w:val="12017564"/>
    <w:rsid w:val="1204299F"/>
    <w:rsid w:val="12060211"/>
    <w:rsid w:val="12077EC6"/>
    <w:rsid w:val="12082030"/>
    <w:rsid w:val="12092157"/>
    <w:rsid w:val="120F5786"/>
    <w:rsid w:val="12110C76"/>
    <w:rsid w:val="12134AED"/>
    <w:rsid w:val="1214191A"/>
    <w:rsid w:val="12194F28"/>
    <w:rsid w:val="121D6457"/>
    <w:rsid w:val="121F1081"/>
    <w:rsid w:val="122500C0"/>
    <w:rsid w:val="1226101F"/>
    <w:rsid w:val="12286AEC"/>
    <w:rsid w:val="122A711A"/>
    <w:rsid w:val="122E678D"/>
    <w:rsid w:val="12311013"/>
    <w:rsid w:val="123132BD"/>
    <w:rsid w:val="12323C6E"/>
    <w:rsid w:val="1239124E"/>
    <w:rsid w:val="12435A17"/>
    <w:rsid w:val="1244383E"/>
    <w:rsid w:val="12452B43"/>
    <w:rsid w:val="124A0FE4"/>
    <w:rsid w:val="124B7CA2"/>
    <w:rsid w:val="124C3BCB"/>
    <w:rsid w:val="124E3F8D"/>
    <w:rsid w:val="12540A31"/>
    <w:rsid w:val="12555E11"/>
    <w:rsid w:val="1256190C"/>
    <w:rsid w:val="12563708"/>
    <w:rsid w:val="125D5534"/>
    <w:rsid w:val="125F171B"/>
    <w:rsid w:val="125F2267"/>
    <w:rsid w:val="125F7162"/>
    <w:rsid w:val="12601080"/>
    <w:rsid w:val="126078E9"/>
    <w:rsid w:val="126151D4"/>
    <w:rsid w:val="12666C60"/>
    <w:rsid w:val="12695A87"/>
    <w:rsid w:val="126A6CB2"/>
    <w:rsid w:val="126B25ED"/>
    <w:rsid w:val="126D4D63"/>
    <w:rsid w:val="126F4A66"/>
    <w:rsid w:val="127306BA"/>
    <w:rsid w:val="12755F06"/>
    <w:rsid w:val="12757119"/>
    <w:rsid w:val="12765911"/>
    <w:rsid w:val="127952AC"/>
    <w:rsid w:val="127A270D"/>
    <w:rsid w:val="127B3097"/>
    <w:rsid w:val="127C68FE"/>
    <w:rsid w:val="127C69FB"/>
    <w:rsid w:val="127E0500"/>
    <w:rsid w:val="12807427"/>
    <w:rsid w:val="12823D9E"/>
    <w:rsid w:val="12862F45"/>
    <w:rsid w:val="128927C8"/>
    <w:rsid w:val="128E5B2F"/>
    <w:rsid w:val="128E64BF"/>
    <w:rsid w:val="129045D8"/>
    <w:rsid w:val="12922B17"/>
    <w:rsid w:val="129247CF"/>
    <w:rsid w:val="1294709A"/>
    <w:rsid w:val="12982392"/>
    <w:rsid w:val="129843F8"/>
    <w:rsid w:val="12991C7A"/>
    <w:rsid w:val="129C05C4"/>
    <w:rsid w:val="129F436D"/>
    <w:rsid w:val="12A01C02"/>
    <w:rsid w:val="12A074FB"/>
    <w:rsid w:val="12A169CD"/>
    <w:rsid w:val="12A50BEC"/>
    <w:rsid w:val="12A60CB6"/>
    <w:rsid w:val="12A65BC0"/>
    <w:rsid w:val="12A66DCF"/>
    <w:rsid w:val="12A71E78"/>
    <w:rsid w:val="12A93D84"/>
    <w:rsid w:val="12AA3402"/>
    <w:rsid w:val="12AC096A"/>
    <w:rsid w:val="12B11230"/>
    <w:rsid w:val="12B50D1D"/>
    <w:rsid w:val="12B56697"/>
    <w:rsid w:val="12B574D9"/>
    <w:rsid w:val="12B62245"/>
    <w:rsid w:val="12B82408"/>
    <w:rsid w:val="12B970AC"/>
    <w:rsid w:val="12BA404A"/>
    <w:rsid w:val="12C22C0D"/>
    <w:rsid w:val="12C36C3F"/>
    <w:rsid w:val="12C565B9"/>
    <w:rsid w:val="12C6252E"/>
    <w:rsid w:val="12CA4F85"/>
    <w:rsid w:val="12CD5AE6"/>
    <w:rsid w:val="12CE39BC"/>
    <w:rsid w:val="12D325A7"/>
    <w:rsid w:val="12D33DDC"/>
    <w:rsid w:val="12D57022"/>
    <w:rsid w:val="12D60EC3"/>
    <w:rsid w:val="12D756DA"/>
    <w:rsid w:val="12D82CF4"/>
    <w:rsid w:val="12D923AB"/>
    <w:rsid w:val="12DB2496"/>
    <w:rsid w:val="12DC073C"/>
    <w:rsid w:val="12DD2C5D"/>
    <w:rsid w:val="12DD4580"/>
    <w:rsid w:val="12DE3266"/>
    <w:rsid w:val="12DE48C5"/>
    <w:rsid w:val="12DF56B9"/>
    <w:rsid w:val="12E055B0"/>
    <w:rsid w:val="12E31D80"/>
    <w:rsid w:val="12E36E16"/>
    <w:rsid w:val="12E67388"/>
    <w:rsid w:val="12EA5447"/>
    <w:rsid w:val="12EA6E3B"/>
    <w:rsid w:val="12EB634C"/>
    <w:rsid w:val="12EC0E79"/>
    <w:rsid w:val="12EC23F0"/>
    <w:rsid w:val="12EF2A73"/>
    <w:rsid w:val="12F129BE"/>
    <w:rsid w:val="12F149A5"/>
    <w:rsid w:val="12F27796"/>
    <w:rsid w:val="12F76B21"/>
    <w:rsid w:val="12F85C91"/>
    <w:rsid w:val="12F91AD6"/>
    <w:rsid w:val="12FE7AC6"/>
    <w:rsid w:val="12FF7899"/>
    <w:rsid w:val="130645E8"/>
    <w:rsid w:val="13094B63"/>
    <w:rsid w:val="130A272E"/>
    <w:rsid w:val="130B52AE"/>
    <w:rsid w:val="130B747A"/>
    <w:rsid w:val="130C3FDF"/>
    <w:rsid w:val="130C4A26"/>
    <w:rsid w:val="13140BAA"/>
    <w:rsid w:val="131527CB"/>
    <w:rsid w:val="13167E9E"/>
    <w:rsid w:val="131707F1"/>
    <w:rsid w:val="13170959"/>
    <w:rsid w:val="131A21C1"/>
    <w:rsid w:val="131B5E11"/>
    <w:rsid w:val="131F1CDF"/>
    <w:rsid w:val="1323113D"/>
    <w:rsid w:val="132362E5"/>
    <w:rsid w:val="13251D07"/>
    <w:rsid w:val="132726D2"/>
    <w:rsid w:val="132947CC"/>
    <w:rsid w:val="13295ACA"/>
    <w:rsid w:val="132C251E"/>
    <w:rsid w:val="132F0A09"/>
    <w:rsid w:val="13304332"/>
    <w:rsid w:val="1330466D"/>
    <w:rsid w:val="133834CF"/>
    <w:rsid w:val="133905FF"/>
    <w:rsid w:val="133E7F07"/>
    <w:rsid w:val="13410D1C"/>
    <w:rsid w:val="13415378"/>
    <w:rsid w:val="13484116"/>
    <w:rsid w:val="134A454B"/>
    <w:rsid w:val="134B5EE9"/>
    <w:rsid w:val="134C4936"/>
    <w:rsid w:val="134D607A"/>
    <w:rsid w:val="134E3122"/>
    <w:rsid w:val="1351713D"/>
    <w:rsid w:val="1354054F"/>
    <w:rsid w:val="13562446"/>
    <w:rsid w:val="135625CF"/>
    <w:rsid w:val="13570801"/>
    <w:rsid w:val="1357266A"/>
    <w:rsid w:val="135C62CE"/>
    <w:rsid w:val="135D64D3"/>
    <w:rsid w:val="135E227C"/>
    <w:rsid w:val="135F4CA3"/>
    <w:rsid w:val="13620BC7"/>
    <w:rsid w:val="13621A75"/>
    <w:rsid w:val="13684504"/>
    <w:rsid w:val="136A5540"/>
    <w:rsid w:val="13700E47"/>
    <w:rsid w:val="13745715"/>
    <w:rsid w:val="13765695"/>
    <w:rsid w:val="137B0575"/>
    <w:rsid w:val="13853A2D"/>
    <w:rsid w:val="13866DD6"/>
    <w:rsid w:val="138A74E8"/>
    <w:rsid w:val="138B0E78"/>
    <w:rsid w:val="138C20D2"/>
    <w:rsid w:val="138D71B9"/>
    <w:rsid w:val="138E61E2"/>
    <w:rsid w:val="138F5D73"/>
    <w:rsid w:val="13911738"/>
    <w:rsid w:val="1397396C"/>
    <w:rsid w:val="139B3B1A"/>
    <w:rsid w:val="139D06A4"/>
    <w:rsid w:val="139F1BA1"/>
    <w:rsid w:val="13A00D48"/>
    <w:rsid w:val="13A47621"/>
    <w:rsid w:val="13A8509E"/>
    <w:rsid w:val="13AB22A5"/>
    <w:rsid w:val="13B04864"/>
    <w:rsid w:val="13B0676C"/>
    <w:rsid w:val="13B14334"/>
    <w:rsid w:val="13B17B8D"/>
    <w:rsid w:val="13B17D3F"/>
    <w:rsid w:val="13B336C8"/>
    <w:rsid w:val="13B5634D"/>
    <w:rsid w:val="13B568F0"/>
    <w:rsid w:val="13BB4BA8"/>
    <w:rsid w:val="13BC20B8"/>
    <w:rsid w:val="13BE1AE1"/>
    <w:rsid w:val="13BF34E4"/>
    <w:rsid w:val="13C00B6B"/>
    <w:rsid w:val="13C1134A"/>
    <w:rsid w:val="13C4294C"/>
    <w:rsid w:val="13CA1AAA"/>
    <w:rsid w:val="13CA75A7"/>
    <w:rsid w:val="13CB3A00"/>
    <w:rsid w:val="13CC3B53"/>
    <w:rsid w:val="13CF4C0B"/>
    <w:rsid w:val="13CF6B0E"/>
    <w:rsid w:val="13D33CF7"/>
    <w:rsid w:val="13DA7456"/>
    <w:rsid w:val="13DB1677"/>
    <w:rsid w:val="13DB1B8E"/>
    <w:rsid w:val="13DB70A5"/>
    <w:rsid w:val="13DF279D"/>
    <w:rsid w:val="13E332ED"/>
    <w:rsid w:val="13E41278"/>
    <w:rsid w:val="13E50894"/>
    <w:rsid w:val="13E84C06"/>
    <w:rsid w:val="13E94330"/>
    <w:rsid w:val="13E95B27"/>
    <w:rsid w:val="13EA6FA4"/>
    <w:rsid w:val="13EB34BE"/>
    <w:rsid w:val="13EE67BB"/>
    <w:rsid w:val="13F0122E"/>
    <w:rsid w:val="13F1390E"/>
    <w:rsid w:val="13F21EE3"/>
    <w:rsid w:val="13F36DC8"/>
    <w:rsid w:val="13F5354C"/>
    <w:rsid w:val="13FC1CE1"/>
    <w:rsid w:val="13FD48AB"/>
    <w:rsid w:val="13FF7F0E"/>
    <w:rsid w:val="14035E06"/>
    <w:rsid w:val="14087CCB"/>
    <w:rsid w:val="1411033A"/>
    <w:rsid w:val="14112DAF"/>
    <w:rsid w:val="14117889"/>
    <w:rsid w:val="1413140B"/>
    <w:rsid w:val="14162E44"/>
    <w:rsid w:val="141A04DE"/>
    <w:rsid w:val="141B16E1"/>
    <w:rsid w:val="141D3124"/>
    <w:rsid w:val="141E3843"/>
    <w:rsid w:val="141F0545"/>
    <w:rsid w:val="14273A5C"/>
    <w:rsid w:val="142819F4"/>
    <w:rsid w:val="14281E78"/>
    <w:rsid w:val="14291350"/>
    <w:rsid w:val="142A3381"/>
    <w:rsid w:val="14312A72"/>
    <w:rsid w:val="14343B19"/>
    <w:rsid w:val="1435016F"/>
    <w:rsid w:val="14353C69"/>
    <w:rsid w:val="14396D92"/>
    <w:rsid w:val="143B6A8F"/>
    <w:rsid w:val="143C6DD1"/>
    <w:rsid w:val="143D2B01"/>
    <w:rsid w:val="143D2FA3"/>
    <w:rsid w:val="143D7B6F"/>
    <w:rsid w:val="14401C9B"/>
    <w:rsid w:val="1442583C"/>
    <w:rsid w:val="1443201A"/>
    <w:rsid w:val="1446686E"/>
    <w:rsid w:val="14471F75"/>
    <w:rsid w:val="14485C6A"/>
    <w:rsid w:val="144A41AA"/>
    <w:rsid w:val="144C1D50"/>
    <w:rsid w:val="144C71D7"/>
    <w:rsid w:val="144E16F2"/>
    <w:rsid w:val="145007E2"/>
    <w:rsid w:val="14502A43"/>
    <w:rsid w:val="14503B1D"/>
    <w:rsid w:val="145277FF"/>
    <w:rsid w:val="145417C7"/>
    <w:rsid w:val="14565324"/>
    <w:rsid w:val="1457496C"/>
    <w:rsid w:val="145C649F"/>
    <w:rsid w:val="145F5A04"/>
    <w:rsid w:val="14605D33"/>
    <w:rsid w:val="1466485A"/>
    <w:rsid w:val="14666091"/>
    <w:rsid w:val="14676599"/>
    <w:rsid w:val="146A330E"/>
    <w:rsid w:val="146C0FDE"/>
    <w:rsid w:val="146F07DB"/>
    <w:rsid w:val="146F3ED2"/>
    <w:rsid w:val="146F5369"/>
    <w:rsid w:val="14700F90"/>
    <w:rsid w:val="14703F9A"/>
    <w:rsid w:val="147368E8"/>
    <w:rsid w:val="1474553E"/>
    <w:rsid w:val="147851E7"/>
    <w:rsid w:val="1479505D"/>
    <w:rsid w:val="147A2161"/>
    <w:rsid w:val="147B2392"/>
    <w:rsid w:val="147C4895"/>
    <w:rsid w:val="147C7A7B"/>
    <w:rsid w:val="148147F5"/>
    <w:rsid w:val="148864EB"/>
    <w:rsid w:val="14894C5F"/>
    <w:rsid w:val="148A18D4"/>
    <w:rsid w:val="148E3044"/>
    <w:rsid w:val="14934268"/>
    <w:rsid w:val="1493712E"/>
    <w:rsid w:val="149512E5"/>
    <w:rsid w:val="1498402E"/>
    <w:rsid w:val="149D6142"/>
    <w:rsid w:val="149E0C9A"/>
    <w:rsid w:val="149E4B1D"/>
    <w:rsid w:val="14A220B6"/>
    <w:rsid w:val="14A70123"/>
    <w:rsid w:val="14AC733F"/>
    <w:rsid w:val="14B00D5A"/>
    <w:rsid w:val="14B023AB"/>
    <w:rsid w:val="14B043F3"/>
    <w:rsid w:val="14B073BB"/>
    <w:rsid w:val="14B133D4"/>
    <w:rsid w:val="14B66034"/>
    <w:rsid w:val="14B80D40"/>
    <w:rsid w:val="14BB56FE"/>
    <w:rsid w:val="14C01A05"/>
    <w:rsid w:val="14C15076"/>
    <w:rsid w:val="14C32314"/>
    <w:rsid w:val="14C326AA"/>
    <w:rsid w:val="14C75AE0"/>
    <w:rsid w:val="14CC3B60"/>
    <w:rsid w:val="14D06B12"/>
    <w:rsid w:val="14D12C51"/>
    <w:rsid w:val="14D64677"/>
    <w:rsid w:val="14D9654D"/>
    <w:rsid w:val="14DC621B"/>
    <w:rsid w:val="14DE4293"/>
    <w:rsid w:val="14E07BFB"/>
    <w:rsid w:val="14E279B6"/>
    <w:rsid w:val="14E57D0B"/>
    <w:rsid w:val="14E67959"/>
    <w:rsid w:val="14EE2AE3"/>
    <w:rsid w:val="14F3379D"/>
    <w:rsid w:val="14FB6073"/>
    <w:rsid w:val="14FB7370"/>
    <w:rsid w:val="14FF3DE6"/>
    <w:rsid w:val="14FF60DD"/>
    <w:rsid w:val="150515DF"/>
    <w:rsid w:val="1506202D"/>
    <w:rsid w:val="15076515"/>
    <w:rsid w:val="150A7232"/>
    <w:rsid w:val="150E54D4"/>
    <w:rsid w:val="150F111B"/>
    <w:rsid w:val="15175B75"/>
    <w:rsid w:val="15186803"/>
    <w:rsid w:val="15191E2E"/>
    <w:rsid w:val="15195B00"/>
    <w:rsid w:val="15197FFB"/>
    <w:rsid w:val="151D4890"/>
    <w:rsid w:val="151D5588"/>
    <w:rsid w:val="15204B91"/>
    <w:rsid w:val="15221596"/>
    <w:rsid w:val="15223952"/>
    <w:rsid w:val="15235C46"/>
    <w:rsid w:val="152705F0"/>
    <w:rsid w:val="152B6A03"/>
    <w:rsid w:val="152C2552"/>
    <w:rsid w:val="152F738E"/>
    <w:rsid w:val="15331393"/>
    <w:rsid w:val="1536069A"/>
    <w:rsid w:val="15370777"/>
    <w:rsid w:val="153E601D"/>
    <w:rsid w:val="153F1C46"/>
    <w:rsid w:val="153F2CAB"/>
    <w:rsid w:val="15411203"/>
    <w:rsid w:val="15435440"/>
    <w:rsid w:val="154453E7"/>
    <w:rsid w:val="154A49D3"/>
    <w:rsid w:val="154E03D9"/>
    <w:rsid w:val="154F104D"/>
    <w:rsid w:val="15523057"/>
    <w:rsid w:val="15537357"/>
    <w:rsid w:val="1554179D"/>
    <w:rsid w:val="15576E08"/>
    <w:rsid w:val="15590424"/>
    <w:rsid w:val="15590E53"/>
    <w:rsid w:val="156025A5"/>
    <w:rsid w:val="15610EE2"/>
    <w:rsid w:val="15613D71"/>
    <w:rsid w:val="15632B74"/>
    <w:rsid w:val="15636F38"/>
    <w:rsid w:val="15677A00"/>
    <w:rsid w:val="156A00D8"/>
    <w:rsid w:val="15717419"/>
    <w:rsid w:val="15734795"/>
    <w:rsid w:val="157628A3"/>
    <w:rsid w:val="157932DC"/>
    <w:rsid w:val="15793477"/>
    <w:rsid w:val="157A53B0"/>
    <w:rsid w:val="1580518A"/>
    <w:rsid w:val="15812724"/>
    <w:rsid w:val="15816BBC"/>
    <w:rsid w:val="15867217"/>
    <w:rsid w:val="1587212D"/>
    <w:rsid w:val="158739EA"/>
    <w:rsid w:val="15881B7F"/>
    <w:rsid w:val="158843E2"/>
    <w:rsid w:val="15892A49"/>
    <w:rsid w:val="15897E87"/>
    <w:rsid w:val="158C07F2"/>
    <w:rsid w:val="158D3560"/>
    <w:rsid w:val="158D62E5"/>
    <w:rsid w:val="158E331C"/>
    <w:rsid w:val="159139F0"/>
    <w:rsid w:val="1598110C"/>
    <w:rsid w:val="159A0F12"/>
    <w:rsid w:val="159B7604"/>
    <w:rsid w:val="159D3DD7"/>
    <w:rsid w:val="159D515A"/>
    <w:rsid w:val="15A0453A"/>
    <w:rsid w:val="15A27CC4"/>
    <w:rsid w:val="15A72887"/>
    <w:rsid w:val="15A742A8"/>
    <w:rsid w:val="15B10A56"/>
    <w:rsid w:val="15B251D2"/>
    <w:rsid w:val="15B33D01"/>
    <w:rsid w:val="15B37937"/>
    <w:rsid w:val="15B567FB"/>
    <w:rsid w:val="15B648F2"/>
    <w:rsid w:val="15B72FC0"/>
    <w:rsid w:val="15B8182B"/>
    <w:rsid w:val="15C11FF6"/>
    <w:rsid w:val="15C165F2"/>
    <w:rsid w:val="15C20933"/>
    <w:rsid w:val="15C24128"/>
    <w:rsid w:val="15C33197"/>
    <w:rsid w:val="15C4231F"/>
    <w:rsid w:val="15C46DDC"/>
    <w:rsid w:val="15C52C46"/>
    <w:rsid w:val="15C73632"/>
    <w:rsid w:val="15CA1E82"/>
    <w:rsid w:val="15CD388D"/>
    <w:rsid w:val="15D0400E"/>
    <w:rsid w:val="15D05290"/>
    <w:rsid w:val="15D5149D"/>
    <w:rsid w:val="15D97ABA"/>
    <w:rsid w:val="15DA4487"/>
    <w:rsid w:val="15E56862"/>
    <w:rsid w:val="15E61CDF"/>
    <w:rsid w:val="15E62C8B"/>
    <w:rsid w:val="15E77DAA"/>
    <w:rsid w:val="15F301F9"/>
    <w:rsid w:val="15F32BAA"/>
    <w:rsid w:val="15F43AEF"/>
    <w:rsid w:val="15F47310"/>
    <w:rsid w:val="15F615EA"/>
    <w:rsid w:val="15F7416E"/>
    <w:rsid w:val="15F757A4"/>
    <w:rsid w:val="15FA2C8F"/>
    <w:rsid w:val="15FE0835"/>
    <w:rsid w:val="16013939"/>
    <w:rsid w:val="16016A61"/>
    <w:rsid w:val="16022FF5"/>
    <w:rsid w:val="16031E80"/>
    <w:rsid w:val="160448D2"/>
    <w:rsid w:val="16044B45"/>
    <w:rsid w:val="16064C01"/>
    <w:rsid w:val="160753C2"/>
    <w:rsid w:val="16085F3E"/>
    <w:rsid w:val="1609419F"/>
    <w:rsid w:val="160E45B0"/>
    <w:rsid w:val="160E48EA"/>
    <w:rsid w:val="161179B5"/>
    <w:rsid w:val="16126C50"/>
    <w:rsid w:val="161568E6"/>
    <w:rsid w:val="16164E6E"/>
    <w:rsid w:val="161F27CF"/>
    <w:rsid w:val="16203FC9"/>
    <w:rsid w:val="16253311"/>
    <w:rsid w:val="1626422F"/>
    <w:rsid w:val="16265210"/>
    <w:rsid w:val="162672B8"/>
    <w:rsid w:val="16275046"/>
    <w:rsid w:val="162B17F8"/>
    <w:rsid w:val="162B276C"/>
    <w:rsid w:val="162C1362"/>
    <w:rsid w:val="162E5CD8"/>
    <w:rsid w:val="162E76CD"/>
    <w:rsid w:val="16340B71"/>
    <w:rsid w:val="163770FF"/>
    <w:rsid w:val="163A551E"/>
    <w:rsid w:val="163A63E2"/>
    <w:rsid w:val="163B38BB"/>
    <w:rsid w:val="163D1F31"/>
    <w:rsid w:val="163E5EDB"/>
    <w:rsid w:val="163F7438"/>
    <w:rsid w:val="16400317"/>
    <w:rsid w:val="164074BF"/>
    <w:rsid w:val="164327D4"/>
    <w:rsid w:val="16435AA2"/>
    <w:rsid w:val="16447940"/>
    <w:rsid w:val="16490630"/>
    <w:rsid w:val="164E45E2"/>
    <w:rsid w:val="164E61EF"/>
    <w:rsid w:val="164F12DE"/>
    <w:rsid w:val="1652043C"/>
    <w:rsid w:val="16531384"/>
    <w:rsid w:val="16540992"/>
    <w:rsid w:val="16551FE7"/>
    <w:rsid w:val="16556222"/>
    <w:rsid w:val="16570034"/>
    <w:rsid w:val="16590279"/>
    <w:rsid w:val="16605446"/>
    <w:rsid w:val="16614F79"/>
    <w:rsid w:val="16654CD4"/>
    <w:rsid w:val="16662415"/>
    <w:rsid w:val="166E2794"/>
    <w:rsid w:val="166F66D7"/>
    <w:rsid w:val="1670340D"/>
    <w:rsid w:val="16773C55"/>
    <w:rsid w:val="167D0D6F"/>
    <w:rsid w:val="167F441D"/>
    <w:rsid w:val="1680639D"/>
    <w:rsid w:val="16813B68"/>
    <w:rsid w:val="16814B33"/>
    <w:rsid w:val="16852D09"/>
    <w:rsid w:val="16861FC2"/>
    <w:rsid w:val="16881471"/>
    <w:rsid w:val="16886CD3"/>
    <w:rsid w:val="168B25CF"/>
    <w:rsid w:val="168C0E60"/>
    <w:rsid w:val="168E0DAA"/>
    <w:rsid w:val="169038F0"/>
    <w:rsid w:val="16937D4C"/>
    <w:rsid w:val="16937E91"/>
    <w:rsid w:val="16950E99"/>
    <w:rsid w:val="16954407"/>
    <w:rsid w:val="169723C3"/>
    <w:rsid w:val="169C45B4"/>
    <w:rsid w:val="169C5B38"/>
    <w:rsid w:val="169D7D44"/>
    <w:rsid w:val="169E3988"/>
    <w:rsid w:val="169F6DDE"/>
    <w:rsid w:val="169F7B78"/>
    <w:rsid w:val="16A06F6C"/>
    <w:rsid w:val="16A37738"/>
    <w:rsid w:val="16A45C3F"/>
    <w:rsid w:val="16AC070E"/>
    <w:rsid w:val="16AC128D"/>
    <w:rsid w:val="16AF7F39"/>
    <w:rsid w:val="16B13B50"/>
    <w:rsid w:val="16B645E5"/>
    <w:rsid w:val="16BA7B53"/>
    <w:rsid w:val="16BE3A18"/>
    <w:rsid w:val="16BF2667"/>
    <w:rsid w:val="16C1243A"/>
    <w:rsid w:val="16C16C1A"/>
    <w:rsid w:val="16C459AD"/>
    <w:rsid w:val="16C64C19"/>
    <w:rsid w:val="16C64FF1"/>
    <w:rsid w:val="16C74C5A"/>
    <w:rsid w:val="16C84B7E"/>
    <w:rsid w:val="16C94ADA"/>
    <w:rsid w:val="16C9606A"/>
    <w:rsid w:val="16CB4D81"/>
    <w:rsid w:val="16CC752C"/>
    <w:rsid w:val="16CD01F4"/>
    <w:rsid w:val="16CF0CA7"/>
    <w:rsid w:val="16D20F77"/>
    <w:rsid w:val="16D265E3"/>
    <w:rsid w:val="16D3314A"/>
    <w:rsid w:val="16D40756"/>
    <w:rsid w:val="16D4515F"/>
    <w:rsid w:val="16D853E8"/>
    <w:rsid w:val="16DF030C"/>
    <w:rsid w:val="16DF42B7"/>
    <w:rsid w:val="16E00AC4"/>
    <w:rsid w:val="16E02500"/>
    <w:rsid w:val="16E34E32"/>
    <w:rsid w:val="16E5413D"/>
    <w:rsid w:val="16E95687"/>
    <w:rsid w:val="16EA32CE"/>
    <w:rsid w:val="16EA4A28"/>
    <w:rsid w:val="16EB05BF"/>
    <w:rsid w:val="16F01F27"/>
    <w:rsid w:val="16F23E69"/>
    <w:rsid w:val="16F467B9"/>
    <w:rsid w:val="16F50B9A"/>
    <w:rsid w:val="16F55645"/>
    <w:rsid w:val="16F57913"/>
    <w:rsid w:val="16F61DE8"/>
    <w:rsid w:val="16F73CB0"/>
    <w:rsid w:val="16F768B7"/>
    <w:rsid w:val="16FE62A8"/>
    <w:rsid w:val="16FE756D"/>
    <w:rsid w:val="170039A9"/>
    <w:rsid w:val="170C3666"/>
    <w:rsid w:val="170C5AF8"/>
    <w:rsid w:val="171308AC"/>
    <w:rsid w:val="17132826"/>
    <w:rsid w:val="17133B19"/>
    <w:rsid w:val="171671B2"/>
    <w:rsid w:val="1717079B"/>
    <w:rsid w:val="1717617B"/>
    <w:rsid w:val="17185D9E"/>
    <w:rsid w:val="171B7060"/>
    <w:rsid w:val="171E244D"/>
    <w:rsid w:val="171E3328"/>
    <w:rsid w:val="171F7255"/>
    <w:rsid w:val="17241F9C"/>
    <w:rsid w:val="17286037"/>
    <w:rsid w:val="172B784B"/>
    <w:rsid w:val="173050E4"/>
    <w:rsid w:val="1731677D"/>
    <w:rsid w:val="17344B9B"/>
    <w:rsid w:val="173F3BAB"/>
    <w:rsid w:val="17404614"/>
    <w:rsid w:val="17460C82"/>
    <w:rsid w:val="174A3A5D"/>
    <w:rsid w:val="174B1DF6"/>
    <w:rsid w:val="174B790B"/>
    <w:rsid w:val="174C7919"/>
    <w:rsid w:val="175070BF"/>
    <w:rsid w:val="1751115D"/>
    <w:rsid w:val="1753607C"/>
    <w:rsid w:val="1754105F"/>
    <w:rsid w:val="17555CFC"/>
    <w:rsid w:val="17590127"/>
    <w:rsid w:val="17593E11"/>
    <w:rsid w:val="175B0DA1"/>
    <w:rsid w:val="175B7908"/>
    <w:rsid w:val="175E540D"/>
    <w:rsid w:val="17645AB7"/>
    <w:rsid w:val="176D0AD2"/>
    <w:rsid w:val="176F289E"/>
    <w:rsid w:val="176F7788"/>
    <w:rsid w:val="17705660"/>
    <w:rsid w:val="17756C35"/>
    <w:rsid w:val="17763300"/>
    <w:rsid w:val="17772532"/>
    <w:rsid w:val="177811A6"/>
    <w:rsid w:val="177936BD"/>
    <w:rsid w:val="177A6BD9"/>
    <w:rsid w:val="177B7253"/>
    <w:rsid w:val="177B7355"/>
    <w:rsid w:val="177E6F3F"/>
    <w:rsid w:val="17806B7D"/>
    <w:rsid w:val="17816D96"/>
    <w:rsid w:val="178220A7"/>
    <w:rsid w:val="178235C4"/>
    <w:rsid w:val="17843CBE"/>
    <w:rsid w:val="17873906"/>
    <w:rsid w:val="17884E84"/>
    <w:rsid w:val="178A21E1"/>
    <w:rsid w:val="1790015B"/>
    <w:rsid w:val="17901A78"/>
    <w:rsid w:val="179104B8"/>
    <w:rsid w:val="17911856"/>
    <w:rsid w:val="17920E66"/>
    <w:rsid w:val="1795292B"/>
    <w:rsid w:val="179570B9"/>
    <w:rsid w:val="17957330"/>
    <w:rsid w:val="179600DC"/>
    <w:rsid w:val="17962EC8"/>
    <w:rsid w:val="17972D2C"/>
    <w:rsid w:val="179859C0"/>
    <w:rsid w:val="179869BB"/>
    <w:rsid w:val="179D0B05"/>
    <w:rsid w:val="17A124A4"/>
    <w:rsid w:val="17A3536F"/>
    <w:rsid w:val="17A77420"/>
    <w:rsid w:val="17A87DA2"/>
    <w:rsid w:val="17AB523F"/>
    <w:rsid w:val="17AC0D1B"/>
    <w:rsid w:val="17B1192B"/>
    <w:rsid w:val="17B61A50"/>
    <w:rsid w:val="17B709F6"/>
    <w:rsid w:val="17BA3A7F"/>
    <w:rsid w:val="17BC6AAC"/>
    <w:rsid w:val="17BF32BB"/>
    <w:rsid w:val="17BF4B05"/>
    <w:rsid w:val="17C03958"/>
    <w:rsid w:val="17C21F56"/>
    <w:rsid w:val="17C270BF"/>
    <w:rsid w:val="17C67390"/>
    <w:rsid w:val="17C72E12"/>
    <w:rsid w:val="17C97F3E"/>
    <w:rsid w:val="17CA4378"/>
    <w:rsid w:val="17CA7C42"/>
    <w:rsid w:val="17CE099E"/>
    <w:rsid w:val="17CF386F"/>
    <w:rsid w:val="17D22F5E"/>
    <w:rsid w:val="17D5487F"/>
    <w:rsid w:val="17D84B3E"/>
    <w:rsid w:val="17DA6D34"/>
    <w:rsid w:val="17DB30BB"/>
    <w:rsid w:val="17DC3F61"/>
    <w:rsid w:val="17DF37E9"/>
    <w:rsid w:val="17E8307F"/>
    <w:rsid w:val="17EB480C"/>
    <w:rsid w:val="17EC24B7"/>
    <w:rsid w:val="17EE0FA9"/>
    <w:rsid w:val="17EF394C"/>
    <w:rsid w:val="17F14BB2"/>
    <w:rsid w:val="17F1765B"/>
    <w:rsid w:val="17F27A11"/>
    <w:rsid w:val="17F44156"/>
    <w:rsid w:val="17F566AC"/>
    <w:rsid w:val="17F64C0D"/>
    <w:rsid w:val="17FB53B5"/>
    <w:rsid w:val="17FF2197"/>
    <w:rsid w:val="18012BBE"/>
    <w:rsid w:val="180B6C7D"/>
    <w:rsid w:val="180E00F1"/>
    <w:rsid w:val="18106DCD"/>
    <w:rsid w:val="18107955"/>
    <w:rsid w:val="18125064"/>
    <w:rsid w:val="18153CD3"/>
    <w:rsid w:val="181813A2"/>
    <w:rsid w:val="18196B9C"/>
    <w:rsid w:val="181C4DB5"/>
    <w:rsid w:val="18214D77"/>
    <w:rsid w:val="182539DC"/>
    <w:rsid w:val="18275934"/>
    <w:rsid w:val="182A5545"/>
    <w:rsid w:val="182B2C9F"/>
    <w:rsid w:val="18325504"/>
    <w:rsid w:val="1834329F"/>
    <w:rsid w:val="18354438"/>
    <w:rsid w:val="18397D8E"/>
    <w:rsid w:val="183C678E"/>
    <w:rsid w:val="183D606E"/>
    <w:rsid w:val="183F6EFA"/>
    <w:rsid w:val="184007C1"/>
    <w:rsid w:val="18447357"/>
    <w:rsid w:val="184B704D"/>
    <w:rsid w:val="184C34DF"/>
    <w:rsid w:val="184E1F6C"/>
    <w:rsid w:val="184F06CA"/>
    <w:rsid w:val="184F5659"/>
    <w:rsid w:val="18524CE1"/>
    <w:rsid w:val="18542B07"/>
    <w:rsid w:val="18571C7B"/>
    <w:rsid w:val="185D0123"/>
    <w:rsid w:val="186052BC"/>
    <w:rsid w:val="186071D3"/>
    <w:rsid w:val="18617272"/>
    <w:rsid w:val="18656F8E"/>
    <w:rsid w:val="18685D8F"/>
    <w:rsid w:val="186B5285"/>
    <w:rsid w:val="186C11BD"/>
    <w:rsid w:val="1871482C"/>
    <w:rsid w:val="18757D2D"/>
    <w:rsid w:val="187851EA"/>
    <w:rsid w:val="1879311B"/>
    <w:rsid w:val="18797CAB"/>
    <w:rsid w:val="187A198D"/>
    <w:rsid w:val="187A2EC2"/>
    <w:rsid w:val="187E3671"/>
    <w:rsid w:val="188028ED"/>
    <w:rsid w:val="188A3E5C"/>
    <w:rsid w:val="188C63F2"/>
    <w:rsid w:val="18901B5A"/>
    <w:rsid w:val="1894519A"/>
    <w:rsid w:val="18971C33"/>
    <w:rsid w:val="189A6BEF"/>
    <w:rsid w:val="189E63B1"/>
    <w:rsid w:val="18A06CB3"/>
    <w:rsid w:val="18A24A57"/>
    <w:rsid w:val="18A36D3A"/>
    <w:rsid w:val="18A65142"/>
    <w:rsid w:val="18A65D66"/>
    <w:rsid w:val="18A7302A"/>
    <w:rsid w:val="18A83DF2"/>
    <w:rsid w:val="18A93B83"/>
    <w:rsid w:val="18A97393"/>
    <w:rsid w:val="18AA7CC9"/>
    <w:rsid w:val="18AB12FE"/>
    <w:rsid w:val="18AE28B9"/>
    <w:rsid w:val="18AF46BD"/>
    <w:rsid w:val="18B049EE"/>
    <w:rsid w:val="18B05907"/>
    <w:rsid w:val="18B2336E"/>
    <w:rsid w:val="18B3696F"/>
    <w:rsid w:val="18B46DDB"/>
    <w:rsid w:val="18B8438E"/>
    <w:rsid w:val="18B852E0"/>
    <w:rsid w:val="18BC3826"/>
    <w:rsid w:val="18C20C9A"/>
    <w:rsid w:val="18C90672"/>
    <w:rsid w:val="18C9558C"/>
    <w:rsid w:val="18CE0F86"/>
    <w:rsid w:val="18D54A81"/>
    <w:rsid w:val="18D56FB4"/>
    <w:rsid w:val="18D707B5"/>
    <w:rsid w:val="18D71FA9"/>
    <w:rsid w:val="18D856B1"/>
    <w:rsid w:val="18D869DE"/>
    <w:rsid w:val="18DD77EE"/>
    <w:rsid w:val="18DE6B87"/>
    <w:rsid w:val="18E35A3F"/>
    <w:rsid w:val="18E616FD"/>
    <w:rsid w:val="18E71581"/>
    <w:rsid w:val="18EC410B"/>
    <w:rsid w:val="18EE315A"/>
    <w:rsid w:val="18F233AA"/>
    <w:rsid w:val="18F31739"/>
    <w:rsid w:val="18F35813"/>
    <w:rsid w:val="18F521E8"/>
    <w:rsid w:val="18F90E9A"/>
    <w:rsid w:val="19004918"/>
    <w:rsid w:val="19040455"/>
    <w:rsid w:val="1907661D"/>
    <w:rsid w:val="19083E60"/>
    <w:rsid w:val="190D0845"/>
    <w:rsid w:val="190D0D00"/>
    <w:rsid w:val="190E6591"/>
    <w:rsid w:val="190F2DFF"/>
    <w:rsid w:val="190F5A92"/>
    <w:rsid w:val="19124362"/>
    <w:rsid w:val="19160B4A"/>
    <w:rsid w:val="1916174E"/>
    <w:rsid w:val="19181C6D"/>
    <w:rsid w:val="191820DA"/>
    <w:rsid w:val="1918346F"/>
    <w:rsid w:val="191927EA"/>
    <w:rsid w:val="191E358A"/>
    <w:rsid w:val="191F1E3D"/>
    <w:rsid w:val="19206C9A"/>
    <w:rsid w:val="192320B0"/>
    <w:rsid w:val="192A73D5"/>
    <w:rsid w:val="192E54DB"/>
    <w:rsid w:val="192E78E2"/>
    <w:rsid w:val="193225C2"/>
    <w:rsid w:val="193316B5"/>
    <w:rsid w:val="193429FC"/>
    <w:rsid w:val="193542A0"/>
    <w:rsid w:val="19361BA4"/>
    <w:rsid w:val="19373EDB"/>
    <w:rsid w:val="193C3281"/>
    <w:rsid w:val="193E6F98"/>
    <w:rsid w:val="193F1626"/>
    <w:rsid w:val="1942077A"/>
    <w:rsid w:val="19425687"/>
    <w:rsid w:val="19442052"/>
    <w:rsid w:val="19443145"/>
    <w:rsid w:val="1949181E"/>
    <w:rsid w:val="194B34D7"/>
    <w:rsid w:val="194B6E7C"/>
    <w:rsid w:val="194D49C7"/>
    <w:rsid w:val="19512EDF"/>
    <w:rsid w:val="19517C3B"/>
    <w:rsid w:val="19523F15"/>
    <w:rsid w:val="19533FF3"/>
    <w:rsid w:val="19565800"/>
    <w:rsid w:val="195A48B3"/>
    <w:rsid w:val="195B3740"/>
    <w:rsid w:val="196170E4"/>
    <w:rsid w:val="19677A3E"/>
    <w:rsid w:val="19684AA3"/>
    <w:rsid w:val="196859E0"/>
    <w:rsid w:val="19692927"/>
    <w:rsid w:val="196C644A"/>
    <w:rsid w:val="196F44B8"/>
    <w:rsid w:val="196F51A7"/>
    <w:rsid w:val="197A27DC"/>
    <w:rsid w:val="197A6BB0"/>
    <w:rsid w:val="197B13C1"/>
    <w:rsid w:val="197B77E3"/>
    <w:rsid w:val="197D0E56"/>
    <w:rsid w:val="197E6685"/>
    <w:rsid w:val="19827B8A"/>
    <w:rsid w:val="19857DDB"/>
    <w:rsid w:val="19897A45"/>
    <w:rsid w:val="198A418C"/>
    <w:rsid w:val="198A61BF"/>
    <w:rsid w:val="198B582C"/>
    <w:rsid w:val="198E23B8"/>
    <w:rsid w:val="198E2A7E"/>
    <w:rsid w:val="1990733D"/>
    <w:rsid w:val="199224AA"/>
    <w:rsid w:val="19924A23"/>
    <w:rsid w:val="1995312D"/>
    <w:rsid w:val="19962524"/>
    <w:rsid w:val="19976999"/>
    <w:rsid w:val="19A21450"/>
    <w:rsid w:val="19A50C86"/>
    <w:rsid w:val="19A5104F"/>
    <w:rsid w:val="19A96344"/>
    <w:rsid w:val="19A979D7"/>
    <w:rsid w:val="19AD0609"/>
    <w:rsid w:val="19AF50B7"/>
    <w:rsid w:val="19B42DF3"/>
    <w:rsid w:val="19B50550"/>
    <w:rsid w:val="19B54E8F"/>
    <w:rsid w:val="19B62E06"/>
    <w:rsid w:val="19B671A8"/>
    <w:rsid w:val="19B81DBB"/>
    <w:rsid w:val="19B850A7"/>
    <w:rsid w:val="19BC2DEB"/>
    <w:rsid w:val="19BC3668"/>
    <w:rsid w:val="19BC4E05"/>
    <w:rsid w:val="19BC6E81"/>
    <w:rsid w:val="19BE0058"/>
    <w:rsid w:val="19BE1A18"/>
    <w:rsid w:val="19C130CC"/>
    <w:rsid w:val="19C16EEF"/>
    <w:rsid w:val="19C3746E"/>
    <w:rsid w:val="19C7664A"/>
    <w:rsid w:val="19C9179B"/>
    <w:rsid w:val="19CE6C1F"/>
    <w:rsid w:val="19D066CA"/>
    <w:rsid w:val="19D163D2"/>
    <w:rsid w:val="19D21AFA"/>
    <w:rsid w:val="19D4716B"/>
    <w:rsid w:val="19D71C24"/>
    <w:rsid w:val="19D82B35"/>
    <w:rsid w:val="19D86584"/>
    <w:rsid w:val="19DC1267"/>
    <w:rsid w:val="19DC2732"/>
    <w:rsid w:val="19E023B3"/>
    <w:rsid w:val="19E03975"/>
    <w:rsid w:val="19E07FC6"/>
    <w:rsid w:val="19E171B9"/>
    <w:rsid w:val="19E21C4F"/>
    <w:rsid w:val="19E51ED6"/>
    <w:rsid w:val="19E630C9"/>
    <w:rsid w:val="19E66A8F"/>
    <w:rsid w:val="19EA6947"/>
    <w:rsid w:val="19EB64EE"/>
    <w:rsid w:val="19EB7D95"/>
    <w:rsid w:val="19ED2DF6"/>
    <w:rsid w:val="19ED691F"/>
    <w:rsid w:val="19EF28B1"/>
    <w:rsid w:val="19F33596"/>
    <w:rsid w:val="19F351C9"/>
    <w:rsid w:val="19F546BB"/>
    <w:rsid w:val="19FD5774"/>
    <w:rsid w:val="19FD7E38"/>
    <w:rsid w:val="1A034975"/>
    <w:rsid w:val="1A061493"/>
    <w:rsid w:val="1A076D1F"/>
    <w:rsid w:val="1A0A16C6"/>
    <w:rsid w:val="1A0D28F7"/>
    <w:rsid w:val="1A111050"/>
    <w:rsid w:val="1A11132D"/>
    <w:rsid w:val="1A130E1B"/>
    <w:rsid w:val="1A176938"/>
    <w:rsid w:val="1A1A0EE3"/>
    <w:rsid w:val="1A1A11AA"/>
    <w:rsid w:val="1A1A3CC8"/>
    <w:rsid w:val="1A1C723E"/>
    <w:rsid w:val="1A1E6CC4"/>
    <w:rsid w:val="1A240C4A"/>
    <w:rsid w:val="1A253A87"/>
    <w:rsid w:val="1A2567BB"/>
    <w:rsid w:val="1A286BCA"/>
    <w:rsid w:val="1A2C44DA"/>
    <w:rsid w:val="1A2D336A"/>
    <w:rsid w:val="1A2E6A58"/>
    <w:rsid w:val="1A2F21D1"/>
    <w:rsid w:val="1A352702"/>
    <w:rsid w:val="1A3635F9"/>
    <w:rsid w:val="1A381AAE"/>
    <w:rsid w:val="1A387680"/>
    <w:rsid w:val="1A3F5BE5"/>
    <w:rsid w:val="1A4232B7"/>
    <w:rsid w:val="1A4249E8"/>
    <w:rsid w:val="1A4338FA"/>
    <w:rsid w:val="1A464166"/>
    <w:rsid w:val="1A482D2C"/>
    <w:rsid w:val="1A4856CE"/>
    <w:rsid w:val="1A4948E4"/>
    <w:rsid w:val="1A4D7011"/>
    <w:rsid w:val="1A5033B8"/>
    <w:rsid w:val="1A527E7A"/>
    <w:rsid w:val="1A5D079D"/>
    <w:rsid w:val="1A5D53D8"/>
    <w:rsid w:val="1A5E69AA"/>
    <w:rsid w:val="1A636E29"/>
    <w:rsid w:val="1A670013"/>
    <w:rsid w:val="1A6E7DA7"/>
    <w:rsid w:val="1A6F7B4C"/>
    <w:rsid w:val="1A702BD5"/>
    <w:rsid w:val="1A710480"/>
    <w:rsid w:val="1A730A36"/>
    <w:rsid w:val="1A734539"/>
    <w:rsid w:val="1A745944"/>
    <w:rsid w:val="1A7B787E"/>
    <w:rsid w:val="1A7E670C"/>
    <w:rsid w:val="1A864077"/>
    <w:rsid w:val="1A87099B"/>
    <w:rsid w:val="1A88138E"/>
    <w:rsid w:val="1A8A5C37"/>
    <w:rsid w:val="1A8D70C9"/>
    <w:rsid w:val="1A906E9E"/>
    <w:rsid w:val="1A911567"/>
    <w:rsid w:val="1A91557F"/>
    <w:rsid w:val="1A936253"/>
    <w:rsid w:val="1A970EF9"/>
    <w:rsid w:val="1A982EE6"/>
    <w:rsid w:val="1A992D26"/>
    <w:rsid w:val="1A9C6F01"/>
    <w:rsid w:val="1AA5153A"/>
    <w:rsid w:val="1AA57F61"/>
    <w:rsid w:val="1AA950AD"/>
    <w:rsid w:val="1AAC7F96"/>
    <w:rsid w:val="1AAD7B32"/>
    <w:rsid w:val="1AAF5784"/>
    <w:rsid w:val="1AB04515"/>
    <w:rsid w:val="1AB11541"/>
    <w:rsid w:val="1AB30A53"/>
    <w:rsid w:val="1AB60E91"/>
    <w:rsid w:val="1AB710DD"/>
    <w:rsid w:val="1AB973C7"/>
    <w:rsid w:val="1ABA7988"/>
    <w:rsid w:val="1ABC7969"/>
    <w:rsid w:val="1ABD0A67"/>
    <w:rsid w:val="1ABE6177"/>
    <w:rsid w:val="1AC074E4"/>
    <w:rsid w:val="1AC26287"/>
    <w:rsid w:val="1AC936AE"/>
    <w:rsid w:val="1ACA49E9"/>
    <w:rsid w:val="1ACD0BC1"/>
    <w:rsid w:val="1ACD74BE"/>
    <w:rsid w:val="1ACE5A73"/>
    <w:rsid w:val="1ACF1102"/>
    <w:rsid w:val="1ACF14E3"/>
    <w:rsid w:val="1AD110DF"/>
    <w:rsid w:val="1AD61DF1"/>
    <w:rsid w:val="1AD667AC"/>
    <w:rsid w:val="1AD81B16"/>
    <w:rsid w:val="1ADC73A4"/>
    <w:rsid w:val="1ADE5687"/>
    <w:rsid w:val="1AE006B1"/>
    <w:rsid w:val="1AE17A82"/>
    <w:rsid w:val="1AE20554"/>
    <w:rsid w:val="1AE231BC"/>
    <w:rsid w:val="1AE24247"/>
    <w:rsid w:val="1AE30EDD"/>
    <w:rsid w:val="1AE32421"/>
    <w:rsid w:val="1AE42A42"/>
    <w:rsid w:val="1AF015A0"/>
    <w:rsid w:val="1AF25809"/>
    <w:rsid w:val="1AF41D6F"/>
    <w:rsid w:val="1AF46B9F"/>
    <w:rsid w:val="1AF87DA4"/>
    <w:rsid w:val="1AF91712"/>
    <w:rsid w:val="1AF9770B"/>
    <w:rsid w:val="1AFB0956"/>
    <w:rsid w:val="1AFC6D3B"/>
    <w:rsid w:val="1AFC7D93"/>
    <w:rsid w:val="1B062F8F"/>
    <w:rsid w:val="1B066861"/>
    <w:rsid w:val="1B072002"/>
    <w:rsid w:val="1B0A7621"/>
    <w:rsid w:val="1B0D3DC8"/>
    <w:rsid w:val="1B0E4B02"/>
    <w:rsid w:val="1B1012D5"/>
    <w:rsid w:val="1B101480"/>
    <w:rsid w:val="1B110F77"/>
    <w:rsid w:val="1B1116CA"/>
    <w:rsid w:val="1B120097"/>
    <w:rsid w:val="1B121FF7"/>
    <w:rsid w:val="1B164C90"/>
    <w:rsid w:val="1B195268"/>
    <w:rsid w:val="1B1A7B02"/>
    <w:rsid w:val="1B1B0C16"/>
    <w:rsid w:val="1B1D1745"/>
    <w:rsid w:val="1B1D3339"/>
    <w:rsid w:val="1B1F0328"/>
    <w:rsid w:val="1B21104D"/>
    <w:rsid w:val="1B2120DD"/>
    <w:rsid w:val="1B213900"/>
    <w:rsid w:val="1B262140"/>
    <w:rsid w:val="1B293836"/>
    <w:rsid w:val="1B2974EA"/>
    <w:rsid w:val="1B2A08F4"/>
    <w:rsid w:val="1B2B7FED"/>
    <w:rsid w:val="1B2C05AF"/>
    <w:rsid w:val="1B2F1890"/>
    <w:rsid w:val="1B307A8A"/>
    <w:rsid w:val="1B3304BF"/>
    <w:rsid w:val="1B3329A2"/>
    <w:rsid w:val="1B347A44"/>
    <w:rsid w:val="1B3A66DD"/>
    <w:rsid w:val="1B446C01"/>
    <w:rsid w:val="1B452538"/>
    <w:rsid w:val="1B463F5E"/>
    <w:rsid w:val="1B4762EC"/>
    <w:rsid w:val="1B4A299E"/>
    <w:rsid w:val="1B4A2B16"/>
    <w:rsid w:val="1B50500B"/>
    <w:rsid w:val="1B52473D"/>
    <w:rsid w:val="1B574C12"/>
    <w:rsid w:val="1B585208"/>
    <w:rsid w:val="1B592D1E"/>
    <w:rsid w:val="1B5B07DF"/>
    <w:rsid w:val="1B63442C"/>
    <w:rsid w:val="1B6413BF"/>
    <w:rsid w:val="1B67743B"/>
    <w:rsid w:val="1B69650A"/>
    <w:rsid w:val="1B697306"/>
    <w:rsid w:val="1B6A78CD"/>
    <w:rsid w:val="1B791E66"/>
    <w:rsid w:val="1B7A1DA8"/>
    <w:rsid w:val="1B7F09A2"/>
    <w:rsid w:val="1B8778AD"/>
    <w:rsid w:val="1B895A52"/>
    <w:rsid w:val="1B8962D1"/>
    <w:rsid w:val="1B8A6A93"/>
    <w:rsid w:val="1B8B5A77"/>
    <w:rsid w:val="1B8D05E0"/>
    <w:rsid w:val="1B8E798A"/>
    <w:rsid w:val="1B8F7ACB"/>
    <w:rsid w:val="1B9070A9"/>
    <w:rsid w:val="1B914337"/>
    <w:rsid w:val="1B9300E7"/>
    <w:rsid w:val="1B940890"/>
    <w:rsid w:val="1B95566F"/>
    <w:rsid w:val="1B9559CD"/>
    <w:rsid w:val="1B977C14"/>
    <w:rsid w:val="1B995426"/>
    <w:rsid w:val="1B9B0AD3"/>
    <w:rsid w:val="1B9B17E3"/>
    <w:rsid w:val="1B9B4935"/>
    <w:rsid w:val="1B9E207A"/>
    <w:rsid w:val="1B9E6B4C"/>
    <w:rsid w:val="1B9F4B7B"/>
    <w:rsid w:val="1B9F566B"/>
    <w:rsid w:val="1BA01E70"/>
    <w:rsid w:val="1BA31729"/>
    <w:rsid w:val="1BA404CB"/>
    <w:rsid w:val="1BA51EA1"/>
    <w:rsid w:val="1BA717B6"/>
    <w:rsid w:val="1BA72406"/>
    <w:rsid w:val="1BAB48B7"/>
    <w:rsid w:val="1BAB5ADE"/>
    <w:rsid w:val="1BAE518F"/>
    <w:rsid w:val="1BB51080"/>
    <w:rsid w:val="1BB941DE"/>
    <w:rsid w:val="1BBA5586"/>
    <w:rsid w:val="1BC00CA0"/>
    <w:rsid w:val="1BC164D0"/>
    <w:rsid w:val="1BC74E6D"/>
    <w:rsid w:val="1BC9789A"/>
    <w:rsid w:val="1BCA4D40"/>
    <w:rsid w:val="1BCB16AC"/>
    <w:rsid w:val="1BCC7806"/>
    <w:rsid w:val="1BD268E1"/>
    <w:rsid w:val="1BD30BA8"/>
    <w:rsid w:val="1BD3535B"/>
    <w:rsid w:val="1BD943EA"/>
    <w:rsid w:val="1BE005FB"/>
    <w:rsid w:val="1BE2187C"/>
    <w:rsid w:val="1BE30EBC"/>
    <w:rsid w:val="1BE40257"/>
    <w:rsid w:val="1BE825A7"/>
    <w:rsid w:val="1BE877EA"/>
    <w:rsid w:val="1BEA13C5"/>
    <w:rsid w:val="1BEC52AD"/>
    <w:rsid w:val="1BEE2207"/>
    <w:rsid w:val="1BEE2349"/>
    <w:rsid w:val="1BF037C4"/>
    <w:rsid w:val="1BF068A7"/>
    <w:rsid w:val="1BF12D85"/>
    <w:rsid w:val="1BF2045F"/>
    <w:rsid w:val="1BF55A87"/>
    <w:rsid w:val="1BF60A8A"/>
    <w:rsid w:val="1BF83248"/>
    <w:rsid w:val="1BFC7F04"/>
    <w:rsid w:val="1BFD5780"/>
    <w:rsid w:val="1C080300"/>
    <w:rsid w:val="1C080F8D"/>
    <w:rsid w:val="1C0B7643"/>
    <w:rsid w:val="1C0D0C92"/>
    <w:rsid w:val="1C113445"/>
    <w:rsid w:val="1C117E64"/>
    <w:rsid w:val="1C1764A0"/>
    <w:rsid w:val="1C177425"/>
    <w:rsid w:val="1C1B1588"/>
    <w:rsid w:val="1C1E5985"/>
    <w:rsid w:val="1C202E3D"/>
    <w:rsid w:val="1C2539DF"/>
    <w:rsid w:val="1C2B014D"/>
    <w:rsid w:val="1C2C7472"/>
    <w:rsid w:val="1C2F1EC4"/>
    <w:rsid w:val="1C325BC5"/>
    <w:rsid w:val="1C3349DA"/>
    <w:rsid w:val="1C342203"/>
    <w:rsid w:val="1C3535A3"/>
    <w:rsid w:val="1C373C5E"/>
    <w:rsid w:val="1C3A00BD"/>
    <w:rsid w:val="1C3A3EDD"/>
    <w:rsid w:val="1C3B55C5"/>
    <w:rsid w:val="1C3D2EA8"/>
    <w:rsid w:val="1C400749"/>
    <w:rsid w:val="1C4375AD"/>
    <w:rsid w:val="1C442FD4"/>
    <w:rsid w:val="1C4578A7"/>
    <w:rsid w:val="1C4819A3"/>
    <w:rsid w:val="1C4968A9"/>
    <w:rsid w:val="1C4A21F7"/>
    <w:rsid w:val="1C4A3239"/>
    <w:rsid w:val="1C4B5E6F"/>
    <w:rsid w:val="1C4B7BE0"/>
    <w:rsid w:val="1C5754B5"/>
    <w:rsid w:val="1C5C6107"/>
    <w:rsid w:val="1C5D0121"/>
    <w:rsid w:val="1C5D71BF"/>
    <w:rsid w:val="1C5F1EAD"/>
    <w:rsid w:val="1C62576B"/>
    <w:rsid w:val="1C675A3A"/>
    <w:rsid w:val="1C68049D"/>
    <w:rsid w:val="1C6919AD"/>
    <w:rsid w:val="1C69325A"/>
    <w:rsid w:val="1C6C0CA4"/>
    <w:rsid w:val="1C6C3CD5"/>
    <w:rsid w:val="1C6E12F9"/>
    <w:rsid w:val="1C716F56"/>
    <w:rsid w:val="1C75493E"/>
    <w:rsid w:val="1C793150"/>
    <w:rsid w:val="1C7B680F"/>
    <w:rsid w:val="1C7D3A2E"/>
    <w:rsid w:val="1C8046BE"/>
    <w:rsid w:val="1C836E9D"/>
    <w:rsid w:val="1C8525A9"/>
    <w:rsid w:val="1C862B4A"/>
    <w:rsid w:val="1C8A5CE7"/>
    <w:rsid w:val="1C903A53"/>
    <w:rsid w:val="1C937340"/>
    <w:rsid w:val="1C966B7C"/>
    <w:rsid w:val="1C9B1BDF"/>
    <w:rsid w:val="1C9B547A"/>
    <w:rsid w:val="1C9E7C10"/>
    <w:rsid w:val="1C9F5A07"/>
    <w:rsid w:val="1CA6064D"/>
    <w:rsid w:val="1CA719D6"/>
    <w:rsid w:val="1CA83649"/>
    <w:rsid w:val="1CA9475F"/>
    <w:rsid w:val="1CAE0F8D"/>
    <w:rsid w:val="1CB87207"/>
    <w:rsid w:val="1CBC610C"/>
    <w:rsid w:val="1CBD0F5D"/>
    <w:rsid w:val="1CBE6969"/>
    <w:rsid w:val="1CBF477A"/>
    <w:rsid w:val="1CC103AA"/>
    <w:rsid w:val="1CC2700F"/>
    <w:rsid w:val="1CC34171"/>
    <w:rsid w:val="1CCB0E6E"/>
    <w:rsid w:val="1CCB20B0"/>
    <w:rsid w:val="1CCB6E63"/>
    <w:rsid w:val="1CD3027F"/>
    <w:rsid w:val="1CD50A67"/>
    <w:rsid w:val="1CD6258C"/>
    <w:rsid w:val="1CD66C0C"/>
    <w:rsid w:val="1CD86017"/>
    <w:rsid w:val="1CDA678C"/>
    <w:rsid w:val="1CDB1661"/>
    <w:rsid w:val="1CDB4E52"/>
    <w:rsid w:val="1CDC4878"/>
    <w:rsid w:val="1CDC6F44"/>
    <w:rsid w:val="1CDF3909"/>
    <w:rsid w:val="1CE51E4D"/>
    <w:rsid w:val="1CEA1F61"/>
    <w:rsid w:val="1CEA3AB4"/>
    <w:rsid w:val="1CEC240E"/>
    <w:rsid w:val="1CEE1413"/>
    <w:rsid w:val="1CEF5B93"/>
    <w:rsid w:val="1CF1597A"/>
    <w:rsid w:val="1CF17648"/>
    <w:rsid w:val="1CF35C2C"/>
    <w:rsid w:val="1CF4162F"/>
    <w:rsid w:val="1CF43187"/>
    <w:rsid w:val="1CF4329C"/>
    <w:rsid w:val="1CF55E47"/>
    <w:rsid w:val="1CFA39AB"/>
    <w:rsid w:val="1CFA4E6F"/>
    <w:rsid w:val="1CFB4CD7"/>
    <w:rsid w:val="1CFF739A"/>
    <w:rsid w:val="1D005137"/>
    <w:rsid w:val="1D045B51"/>
    <w:rsid w:val="1D064265"/>
    <w:rsid w:val="1D065F24"/>
    <w:rsid w:val="1D096EF8"/>
    <w:rsid w:val="1D0B2AC4"/>
    <w:rsid w:val="1D1014DE"/>
    <w:rsid w:val="1D121008"/>
    <w:rsid w:val="1D14439B"/>
    <w:rsid w:val="1D144A0C"/>
    <w:rsid w:val="1D1515F9"/>
    <w:rsid w:val="1D15303B"/>
    <w:rsid w:val="1D175741"/>
    <w:rsid w:val="1D1945A1"/>
    <w:rsid w:val="1D1C5850"/>
    <w:rsid w:val="1D1E3916"/>
    <w:rsid w:val="1D230FE4"/>
    <w:rsid w:val="1D263D34"/>
    <w:rsid w:val="1D266416"/>
    <w:rsid w:val="1D2761DF"/>
    <w:rsid w:val="1D2C36CA"/>
    <w:rsid w:val="1D2F5B00"/>
    <w:rsid w:val="1D301E2B"/>
    <w:rsid w:val="1D313F5A"/>
    <w:rsid w:val="1D3473A7"/>
    <w:rsid w:val="1D407FB9"/>
    <w:rsid w:val="1D411792"/>
    <w:rsid w:val="1D460FC5"/>
    <w:rsid w:val="1D461DB0"/>
    <w:rsid w:val="1D475898"/>
    <w:rsid w:val="1D4832B4"/>
    <w:rsid w:val="1D48604A"/>
    <w:rsid w:val="1D4D5266"/>
    <w:rsid w:val="1D4D6FD7"/>
    <w:rsid w:val="1D4D7CB6"/>
    <w:rsid w:val="1D4E3980"/>
    <w:rsid w:val="1D513998"/>
    <w:rsid w:val="1D5579FB"/>
    <w:rsid w:val="1D592839"/>
    <w:rsid w:val="1D5F3454"/>
    <w:rsid w:val="1D6321CD"/>
    <w:rsid w:val="1D640D31"/>
    <w:rsid w:val="1D6571D5"/>
    <w:rsid w:val="1D695E12"/>
    <w:rsid w:val="1D6A6537"/>
    <w:rsid w:val="1D6C0309"/>
    <w:rsid w:val="1D702AFE"/>
    <w:rsid w:val="1D7132B3"/>
    <w:rsid w:val="1D714F83"/>
    <w:rsid w:val="1D7508AA"/>
    <w:rsid w:val="1D771F1D"/>
    <w:rsid w:val="1D821187"/>
    <w:rsid w:val="1D822A19"/>
    <w:rsid w:val="1D8462FD"/>
    <w:rsid w:val="1D8E1C79"/>
    <w:rsid w:val="1D905295"/>
    <w:rsid w:val="1D92116B"/>
    <w:rsid w:val="1D924E5D"/>
    <w:rsid w:val="1D963FF5"/>
    <w:rsid w:val="1D9A19F3"/>
    <w:rsid w:val="1D9D33D5"/>
    <w:rsid w:val="1D9D466A"/>
    <w:rsid w:val="1DA043AA"/>
    <w:rsid w:val="1DA22191"/>
    <w:rsid w:val="1DA41C10"/>
    <w:rsid w:val="1DA44CE8"/>
    <w:rsid w:val="1DA75946"/>
    <w:rsid w:val="1DA80054"/>
    <w:rsid w:val="1DAA1EAD"/>
    <w:rsid w:val="1DAF2875"/>
    <w:rsid w:val="1DB359EF"/>
    <w:rsid w:val="1DB537DF"/>
    <w:rsid w:val="1DB56D34"/>
    <w:rsid w:val="1DBC11BD"/>
    <w:rsid w:val="1DBC233D"/>
    <w:rsid w:val="1DBC2BFF"/>
    <w:rsid w:val="1DBE276D"/>
    <w:rsid w:val="1DC36F83"/>
    <w:rsid w:val="1DC42B92"/>
    <w:rsid w:val="1DC53861"/>
    <w:rsid w:val="1DC6165F"/>
    <w:rsid w:val="1DCA10DD"/>
    <w:rsid w:val="1DCA6D72"/>
    <w:rsid w:val="1DCA7F13"/>
    <w:rsid w:val="1DCE35B0"/>
    <w:rsid w:val="1DD00CFD"/>
    <w:rsid w:val="1DD14520"/>
    <w:rsid w:val="1DD2719E"/>
    <w:rsid w:val="1DD300A6"/>
    <w:rsid w:val="1DD66683"/>
    <w:rsid w:val="1DD823B0"/>
    <w:rsid w:val="1DD93B7F"/>
    <w:rsid w:val="1DD9736D"/>
    <w:rsid w:val="1DDA1136"/>
    <w:rsid w:val="1DDB634C"/>
    <w:rsid w:val="1DDC41A4"/>
    <w:rsid w:val="1DDF0587"/>
    <w:rsid w:val="1DE0108F"/>
    <w:rsid w:val="1DE06D66"/>
    <w:rsid w:val="1DE132B7"/>
    <w:rsid w:val="1DE44784"/>
    <w:rsid w:val="1DE71F95"/>
    <w:rsid w:val="1DEE3C3C"/>
    <w:rsid w:val="1DEF360D"/>
    <w:rsid w:val="1DF17414"/>
    <w:rsid w:val="1DF32BA6"/>
    <w:rsid w:val="1DF6651D"/>
    <w:rsid w:val="1DFC186C"/>
    <w:rsid w:val="1E0135C1"/>
    <w:rsid w:val="1E030905"/>
    <w:rsid w:val="1E033CC4"/>
    <w:rsid w:val="1E0757D5"/>
    <w:rsid w:val="1E085B76"/>
    <w:rsid w:val="1E09743F"/>
    <w:rsid w:val="1E1070DC"/>
    <w:rsid w:val="1E1104C6"/>
    <w:rsid w:val="1E113B80"/>
    <w:rsid w:val="1E130EC6"/>
    <w:rsid w:val="1E173B11"/>
    <w:rsid w:val="1E177556"/>
    <w:rsid w:val="1E182AAB"/>
    <w:rsid w:val="1E19521E"/>
    <w:rsid w:val="1E1A03CB"/>
    <w:rsid w:val="1E1A331A"/>
    <w:rsid w:val="1E1E28DC"/>
    <w:rsid w:val="1E1E4B34"/>
    <w:rsid w:val="1E2018F0"/>
    <w:rsid w:val="1E230A4A"/>
    <w:rsid w:val="1E242674"/>
    <w:rsid w:val="1E246872"/>
    <w:rsid w:val="1E260685"/>
    <w:rsid w:val="1E261472"/>
    <w:rsid w:val="1E270343"/>
    <w:rsid w:val="1E2755E7"/>
    <w:rsid w:val="1E2A1034"/>
    <w:rsid w:val="1E2B63A6"/>
    <w:rsid w:val="1E2E301B"/>
    <w:rsid w:val="1E301A87"/>
    <w:rsid w:val="1E32386C"/>
    <w:rsid w:val="1E32533A"/>
    <w:rsid w:val="1E3403D8"/>
    <w:rsid w:val="1E366514"/>
    <w:rsid w:val="1E37143F"/>
    <w:rsid w:val="1E373282"/>
    <w:rsid w:val="1E3B2B22"/>
    <w:rsid w:val="1E4040D7"/>
    <w:rsid w:val="1E422B64"/>
    <w:rsid w:val="1E491FAC"/>
    <w:rsid w:val="1E493E25"/>
    <w:rsid w:val="1E4B0F79"/>
    <w:rsid w:val="1E520707"/>
    <w:rsid w:val="1E555DE0"/>
    <w:rsid w:val="1E56316B"/>
    <w:rsid w:val="1E571108"/>
    <w:rsid w:val="1E586BB3"/>
    <w:rsid w:val="1E5E00C7"/>
    <w:rsid w:val="1E5E4D32"/>
    <w:rsid w:val="1E5E7C7A"/>
    <w:rsid w:val="1E612630"/>
    <w:rsid w:val="1E6424FA"/>
    <w:rsid w:val="1E6658D9"/>
    <w:rsid w:val="1E667ABE"/>
    <w:rsid w:val="1E693D41"/>
    <w:rsid w:val="1E6B2AD2"/>
    <w:rsid w:val="1E71374B"/>
    <w:rsid w:val="1E7144D7"/>
    <w:rsid w:val="1E767C7F"/>
    <w:rsid w:val="1E7C04AA"/>
    <w:rsid w:val="1E811ED2"/>
    <w:rsid w:val="1E822E73"/>
    <w:rsid w:val="1E836BF2"/>
    <w:rsid w:val="1E844158"/>
    <w:rsid w:val="1E855F5A"/>
    <w:rsid w:val="1E86104F"/>
    <w:rsid w:val="1E88376B"/>
    <w:rsid w:val="1E8C55F9"/>
    <w:rsid w:val="1E8D4D6F"/>
    <w:rsid w:val="1E8F6D4A"/>
    <w:rsid w:val="1E931D06"/>
    <w:rsid w:val="1E941CC6"/>
    <w:rsid w:val="1E9C09C0"/>
    <w:rsid w:val="1E9D1CF7"/>
    <w:rsid w:val="1EA118C1"/>
    <w:rsid w:val="1EA27DD2"/>
    <w:rsid w:val="1EA336BD"/>
    <w:rsid w:val="1EA60244"/>
    <w:rsid w:val="1EA932B7"/>
    <w:rsid w:val="1EAE2ED9"/>
    <w:rsid w:val="1EAE75AC"/>
    <w:rsid w:val="1EB1539B"/>
    <w:rsid w:val="1EB16DEE"/>
    <w:rsid w:val="1EB30259"/>
    <w:rsid w:val="1EB40B33"/>
    <w:rsid w:val="1EB71A1E"/>
    <w:rsid w:val="1EB83097"/>
    <w:rsid w:val="1EBE0D21"/>
    <w:rsid w:val="1EBF1EB1"/>
    <w:rsid w:val="1EBF60A0"/>
    <w:rsid w:val="1EC01658"/>
    <w:rsid w:val="1EC058B4"/>
    <w:rsid w:val="1EC22AF5"/>
    <w:rsid w:val="1EC257FC"/>
    <w:rsid w:val="1EC426F8"/>
    <w:rsid w:val="1EC504C3"/>
    <w:rsid w:val="1EC7365C"/>
    <w:rsid w:val="1EC96ADD"/>
    <w:rsid w:val="1ECC1EFF"/>
    <w:rsid w:val="1ECC3988"/>
    <w:rsid w:val="1ECD0FBC"/>
    <w:rsid w:val="1ED2104D"/>
    <w:rsid w:val="1ED27538"/>
    <w:rsid w:val="1ED27F56"/>
    <w:rsid w:val="1ED37176"/>
    <w:rsid w:val="1ED42676"/>
    <w:rsid w:val="1ED60A8C"/>
    <w:rsid w:val="1ED86C52"/>
    <w:rsid w:val="1EDF77B7"/>
    <w:rsid w:val="1EE101F7"/>
    <w:rsid w:val="1EE26D50"/>
    <w:rsid w:val="1EE32756"/>
    <w:rsid w:val="1EE511B2"/>
    <w:rsid w:val="1EE607E4"/>
    <w:rsid w:val="1EF53632"/>
    <w:rsid w:val="1EF756B2"/>
    <w:rsid w:val="1EFC2E72"/>
    <w:rsid w:val="1EFC5E90"/>
    <w:rsid w:val="1EFD532A"/>
    <w:rsid w:val="1F0130F5"/>
    <w:rsid w:val="1F013E5A"/>
    <w:rsid w:val="1F027C91"/>
    <w:rsid w:val="1F074D20"/>
    <w:rsid w:val="1F097EA8"/>
    <w:rsid w:val="1F0B185D"/>
    <w:rsid w:val="1F0B7371"/>
    <w:rsid w:val="1F0D1125"/>
    <w:rsid w:val="1F120164"/>
    <w:rsid w:val="1F134B11"/>
    <w:rsid w:val="1F156E21"/>
    <w:rsid w:val="1F1907D5"/>
    <w:rsid w:val="1F1B1038"/>
    <w:rsid w:val="1F1B30B9"/>
    <w:rsid w:val="1F1C62B5"/>
    <w:rsid w:val="1F2027EC"/>
    <w:rsid w:val="1F21516B"/>
    <w:rsid w:val="1F217FD4"/>
    <w:rsid w:val="1F240568"/>
    <w:rsid w:val="1F25695C"/>
    <w:rsid w:val="1F28547F"/>
    <w:rsid w:val="1F2B347A"/>
    <w:rsid w:val="1F2B484D"/>
    <w:rsid w:val="1F2F0C30"/>
    <w:rsid w:val="1F301FB5"/>
    <w:rsid w:val="1F307516"/>
    <w:rsid w:val="1F372094"/>
    <w:rsid w:val="1F3978AF"/>
    <w:rsid w:val="1F3B6EC6"/>
    <w:rsid w:val="1F3C0238"/>
    <w:rsid w:val="1F3C5CED"/>
    <w:rsid w:val="1F3C60AE"/>
    <w:rsid w:val="1F3D30E9"/>
    <w:rsid w:val="1F4102C2"/>
    <w:rsid w:val="1F4118BD"/>
    <w:rsid w:val="1F415847"/>
    <w:rsid w:val="1F420F01"/>
    <w:rsid w:val="1F436340"/>
    <w:rsid w:val="1F456733"/>
    <w:rsid w:val="1F4A09C8"/>
    <w:rsid w:val="1F4A2312"/>
    <w:rsid w:val="1F4A3E50"/>
    <w:rsid w:val="1F4E40D9"/>
    <w:rsid w:val="1F50151A"/>
    <w:rsid w:val="1F5023B1"/>
    <w:rsid w:val="1F516626"/>
    <w:rsid w:val="1F522C42"/>
    <w:rsid w:val="1F525039"/>
    <w:rsid w:val="1F536236"/>
    <w:rsid w:val="1F541018"/>
    <w:rsid w:val="1F5440DB"/>
    <w:rsid w:val="1F547340"/>
    <w:rsid w:val="1F5505F5"/>
    <w:rsid w:val="1F5873FE"/>
    <w:rsid w:val="1F5C6789"/>
    <w:rsid w:val="1F6E522F"/>
    <w:rsid w:val="1F7219A3"/>
    <w:rsid w:val="1F735D25"/>
    <w:rsid w:val="1F756575"/>
    <w:rsid w:val="1F7A0EA9"/>
    <w:rsid w:val="1F7C0607"/>
    <w:rsid w:val="1F7D17E9"/>
    <w:rsid w:val="1F8002C9"/>
    <w:rsid w:val="1F816B78"/>
    <w:rsid w:val="1F8234A8"/>
    <w:rsid w:val="1F834D5A"/>
    <w:rsid w:val="1F837676"/>
    <w:rsid w:val="1F846E5F"/>
    <w:rsid w:val="1F875956"/>
    <w:rsid w:val="1F89020F"/>
    <w:rsid w:val="1F8B313F"/>
    <w:rsid w:val="1F8D415C"/>
    <w:rsid w:val="1F8E0121"/>
    <w:rsid w:val="1F912E00"/>
    <w:rsid w:val="1F9266FB"/>
    <w:rsid w:val="1F946E1B"/>
    <w:rsid w:val="1F9662B0"/>
    <w:rsid w:val="1F9E6CB8"/>
    <w:rsid w:val="1F9E78A8"/>
    <w:rsid w:val="1F9F69B4"/>
    <w:rsid w:val="1FA16009"/>
    <w:rsid w:val="1FA502BF"/>
    <w:rsid w:val="1FA75CAC"/>
    <w:rsid w:val="1FAA099E"/>
    <w:rsid w:val="1FAB4EE9"/>
    <w:rsid w:val="1FAC5D70"/>
    <w:rsid w:val="1FAD07A1"/>
    <w:rsid w:val="1FB10FEB"/>
    <w:rsid w:val="1FB57C03"/>
    <w:rsid w:val="1FB65601"/>
    <w:rsid w:val="1FB87998"/>
    <w:rsid w:val="1FBA3D07"/>
    <w:rsid w:val="1FBA6106"/>
    <w:rsid w:val="1FBD7344"/>
    <w:rsid w:val="1FC04EDF"/>
    <w:rsid w:val="1FC83302"/>
    <w:rsid w:val="1FCA4ADC"/>
    <w:rsid w:val="1FD63CDC"/>
    <w:rsid w:val="1FD809C3"/>
    <w:rsid w:val="1FDA1A7F"/>
    <w:rsid w:val="1FDA2E67"/>
    <w:rsid w:val="1FDC3B10"/>
    <w:rsid w:val="1FDE0B71"/>
    <w:rsid w:val="1FDF3939"/>
    <w:rsid w:val="1FE36F3A"/>
    <w:rsid w:val="1FE478FA"/>
    <w:rsid w:val="1FE567D8"/>
    <w:rsid w:val="1FE6411D"/>
    <w:rsid w:val="1FE91C0F"/>
    <w:rsid w:val="1FF1142B"/>
    <w:rsid w:val="1FF80DF7"/>
    <w:rsid w:val="1FFC254E"/>
    <w:rsid w:val="20052085"/>
    <w:rsid w:val="2007324A"/>
    <w:rsid w:val="20092B79"/>
    <w:rsid w:val="200A6459"/>
    <w:rsid w:val="20111340"/>
    <w:rsid w:val="20134270"/>
    <w:rsid w:val="20163D08"/>
    <w:rsid w:val="20184BB3"/>
    <w:rsid w:val="2019018A"/>
    <w:rsid w:val="201A35CF"/>
    <w:rsid w:val="201A6458"/>
    <w:rsid w:val="201D44E6"/>
    <w:rsid w:val="201D6BE4"/>
    <w:rsid w:val="201D70A2"/>
    <w:rsid w:val="201F294C"/>
    <w:rsid w:val="202142D2"/>
    <w:rsid w:val="2025314F"/>
    <w:rsid w:val="202625BC"/>
    <w:rsid w:val="20276436"/>
    <w:rsid w:val="20292EEB"/>
    <w:rsid w:val="202B5022"/>
    <w:rsid w:val="202D3958"/>
    <w:rsid w:val="202F0805"/>
    <w:rsid w:val="203A4384"/>
    <w:rsid w:val="203A778C"/>
    <w:rsid w:val="203B46D1"/>
    <w:rsid w:val="203D1789"/>
    <w:rsid w:val="203D6B06"/>
    <w:rsid w:val="203F0E65"/>
    <w:rsid w:val="203F3FF6"/>
    <w:rsid w:val="20410A7C"/>
    <w:rsid w:val="20452F46"/>
    <w:rsid w:val="204A0102"/>
    <w:rsid w:val="204B03F6"/>
    <w:rsid w:val="204C4667"/>
    <w:rsid w:val="205226C7"/>
    <w:rsid w:val="20535C9D"/>
    <w:rsid w:val="205375B7"/>
    <w:rsid w:val="20542F91"/>
    <w:rsid w:val="20556B4D"/>
    <w:rsid w:val="205873C4"/>
    <w:rsid w:val="205B7B00"/>
    <w:rsid w:val="205E180E"/>
    <w:rsid w:val="2060787F"/>
    <w:rsid w:val="206224F1"/>
    <w:rsid w:val="20630A6A"/>
    <w:rsid w:val="206577EF"/>
    <w:rsid w:val="206C785F"/>
    <w:rsid w:val="206D5985"/>
    <w:rsid w:val="2073514F"/>
    <w:rsid w:val="20793FEB"/>
    <w:rsid w:val="208133A5"/>
    <w:rsid w:val="208150FA"/>
    <w:rsid w:val="20924BEE"/>
    <w:rsid w:val="20935E13"/>
    <w:rsid w:val="20946C18"/>
    <w:rsid w:val="20966EF2"/>
    <w:rsid w:val="209B7F27"/>
    <w:rsid w:val="209E5EEE"/>
    <w:rsid w:val="209F6D7F"/>
    <w:rsid w:val="20A40B43"/>
    <w:rsid w:val="20A8007A"/>
    <w:rsid w:val="20AB0FF4"/>
    <w:rsid w:val="20AB50E4"/>
    <w:rsid w:val="20AE1C33"/>
    <w:rsid w:val="20AE6798"/>
    <w:rsid w:val="20AF0F5B"/>
    <w:rsid w:val="20B1720E"/>
    <w:rsid w:val="20B23644"/>
    <w:rsid w:val="20B24607"/>
    <w:rsid w:val="20B42DBA"/>
    <w:rsid w:val="20B566B0"/>
    <w:rsid w:val="20B610F7"/>
    <w:rsid w:val="20B66532"/>
    <w:rsid w:val="20B90144"/>
    <w:rsid w:val="20BB1C27"/>
    <w:rsid w:val="20BD15A5"/>
    <w:rsid w:val="20BF3556"/>
    <w:rsid w:val="20BF56A2"/>
    <w:rsid w:val="20C10E05"/>
    <w:rsid w:val="20C54519"/>
    <w:rsid w:val="20C73DC3"/>
    <w:rsid w:val="20CB24DD"/>
    <w:rsid w:val="20D03804"/>
    <w:rsid w:val="20D06DE9"/>
    <w:rsid w:val="20D41685"/>
    <w:rsid w:val="20D76BC1"/>
    <w:rsid w:val="20E1163A"/>
    <w:rsid w:val="20E84AB1"/>
    <w:rsid w:val="20E95DD8"/>
    <w:rsid w:val="20F074B1"/>
    <w:rsid w:val="20F46210"/>
    <w:rsid w:val="20F85ABD"/>
    <w:rsid w:val="20F90AFF"/>
    <w:rsid w:val="20FA09FE"/>
    <w:rsid w:val="20FC6DBF"/>
    <w:rsid w:val="20FE74C3"/>
    <w:rsid w:val="20FE7A29"/>
    <w:rsid w:val="21010457"/>
    <w:rsid w:val="21016597"/>
    <w:rsid w:val="21022E6D"/>
    <w:rsid w:val="21025517"/>
    <w:rsid w:val="210457D0"/>
    <w:rsid w:val="210746BD"/>
    <w:rsid w:val="2110570B"/>
    <w:rsid w:val="21113750"/>
    <w:rsid w:val="211206E6"/>
    <w:rsid w:val="211345CE"/>
    <w:rsid w:val="21141E55"/>
    <w:rsid w:val="21151B38"/>
    <w:rsid w:val="21184587"/>
    <w:rsid w:val="21185922"/>
    <w:rsid w:val="211D7305"/>
    <w:rsid w:val="211D7FC1"/>
    <w:rsid w:val="211E3880"/>
    <w:rsid w:val="212456DB"/>
    <w:rsid w:val="21253A9A"/>
    <w:rsid w:val="21263752"/>
    <w:rsid w:val="21290C5A"/>
    <w:rsid w:val="21292CA0"/>
    <w:rsid w:val="212B61FF"/>
    <w:rsid w:val="212B70F1"/>
    <w:rsid w:val="212F0BBA"/>
    <w:rsid w:val="21337A98"/>
    <w:rsid w:val="21341EA9"/>
    <w:rsid w:val="2135529D"/>
    <w:rsid w:val="213A0714"/>
    <w:rsid w:val="213A3B8C"/>
    <w:rsid w:val="213B6181"/>
    <w:rsid w:val="213B66E5"/>
    <w:rsid w:val="213D4EC8"/>
    <w:rsid w:val="213E6FE4"/>
    <w:rsid w:val="214005D0"/>
    <w:rsid w:val="21403D61"/>
    <w:rsid w:val="2143044F"/>
    <w:rsid w:val="21433E21"/>
    <w:rsid w:val="2143574D"/>
    <w:rsid w:val="214749B2"/>
    <w:rsid w:val="214C0AAD"/>
    <w:rsid w:val="21502810"/>
    <w:rsid w:val="2153434F"/>
    <w:rsid w:val="21556541"/>
    <w:rsid w:val="215752A4"/>
    <w:rsid w:val="215C7843"/>
    <w:rsid w:val="215F657F"/>
    <w:rsid w:val="216149BA"/>
    <w:rsid w:val="21646B30"/>
    <w:rsid w:val="216560A8"/>
    <w:rsid w:val="216A4D0E"/>
    <w:rsid w:val="216C321C"/>
    <w:rsid w:val="216D3D1D"/>
    <w:rsid w:val="216D4257"/>
    <w:rsid w:val="21700D8F"/>
    <w:rsid w:val="21714ECB"/>
    <w:rsid w:val="21720ADB"/>
    <w:rsid w:val="2172208E"/>
    <w:rsid w:val="21734EA2"/>
    <w:rsid w:val="21751F8B"/>
    <w:rsid w:val="21774491"/>
    <w:rsid w:val="217D2FCE"/>
    <w:rsid w:val="217E2D64"/>
    <w:rsid w:val="218060E4"/>
    <w:rsid w:val="21840B88"/>
    <w:rsid w:val="218801F2"/>
    <w:rsid w:val="219012E1"/>
    <w:rsid w:val="21910FA5"/>
    <w:rsid w:val="21915D93"/>
    <w:rsid w:val="21917BE4"/>
    <w:rsid w:val="2195319D"/>
    <w:rsid w:val="219C1199"/>
    <w:rsid w:val="219D793D"/>
    <w:rsid w:val="219E569F"/>
    <w:rsid w:val="219F5E84"/>
    <w:rsid w:val="21A01205"/>
    <w:rsid w:val="21A130A0"/>
    <w:rsid w:val="21A313C8"/>
    <w:rsid w:val="21A34BBB"/>
    <w:rsid w:val="21AC7AEC"/>
    <w:rsid w:val="21AD6543"/>
    <w:rsid w:val="21B05E2E"/>
    <w:rsid w:val="21B635EB"/>
    <w:rsid w:val="21B77537"/>
    <w:rsid w:val="21B83429"/>
    <w:rsid w:val="21BE361B"/>
    <w:rsid w:val="21BE6B9D"/>
    <w:rsid w:val="21C20285"/>
    <w:rsid w:val="21C2666B"/>
    <w:rsid w:val="21C5128E"/>
    <w:rsid w:val="21C56E5F"/>
    <w:rsid w:val="21C73FA5"/>
    <w:rsid w:val="21C74A7B"/>
    <w:rsid w:val="21C86710"/>
    <w:rsid w:val="21CA64E9"/>
    <w:rsid w:val="21CB75A4"/>
    <w:rsid w:val="21D055CB"/>
    <w:rsid w:val="21D07DEA"/>
    <w:rsid w:val="21D23A16"/>
    <w:rsid w:val="21D476D1"/>
    <w:rsid w:val="21D51F28"/>
    <w:rsid w:val="21D6263C"/>
    <w:rsid w:val="21D666CA"/>
    <w:rsid w:val="21D77A79"/>
    <w:rsid w:val="21DC3FE8"/>
    <w:rsid w:val="21E15ACB"/>
    <w:rsid w:val="21E54362"/>
    <w:rsid w:val="21E95460"/>
    <w:rsid w:val="21EA17B2"/>
    <w:rsid w:val="21ED74D1"/>
    <w:rsid w:val="21EF05DD"/>
    <w:rsid w:val="21F42D06"/>
    <w:rsid w:val="21F92C00"/>
    <w:rsid w:val="21F96B70"/>
    <w:rsid w:val="22004049"/>
    <w:rsid w:val="220233CB"/>
    <w:rsid w:val="2204297E"/>
    <w:rsid w:val="2207086A"/>
    <w:rsid w:val="220C4E73"/>
    <w:rsid w:val="220C798B"/>
    <w:rsid w:val="220D6A86"/>
    <w:rsid w:val="221145EE"/>
    <w:rsid w:val="22116327"/>
    <w:rsid w:val="22117356"/>
    <w:rsid w:val="221B5734"/>
    <w:rsid w:val="221C2111"/>
    <w:rsid w:val="221D0FD2"/>
    <w:rsid w:val="221E66FF"/>
    <w:rsid w:val="22233999"/>
    <w:rsid w:val="22252206"/>
    <w:rsid w:val="222559D3"/>
    <w:rsid w:val="22260F28"/>
    <w:rsid w:val="22276299"/>
    <w:rsid w:val="22290B9B"/>
    <w:rsid w:val="222E46C4"/>
    <w:rsid w:val="22305B4A"/>
    <w:rsid w:val="22323992"/>
    <w:rsid w:val="2235431F"/>
    <w:rsid w:val="22354CEB"/>
    <w:rsid w:val="22373438"/>
    <w:rsid w:val="22390D2B"/>
    <w:rsid w:val="22394479"/>
    <w:rsid w:val="223A2F91"/>
    <w:rsid w:val="223C24AC"/>
    <w:rsid w:val="223D0217"/>
    <w:rsid w:val="223E0042"/>
    <w:rsid w:val="223E6D19"/>
    <w:rsid w:val="2241362D"/>
    <w:rsid w:val="22480A04"/>
    <w:rsid w:val="224A5F67"/>
    <w:rsid w:val="224F6785"/>
    <w:rsid w:val="2253221C"/>
    <w:rsid w:val="225346FB"/>
    <w:rsid w:val="22537692"/>
    <w:rsid w:val="22544E25"/>
    <w:rsid w:val="22555CFD"/>
    <w:rsid w:val="225868BD"/>
    <w:rsid w:val="225C2C31"/>
    <w:rsid w:val="22611B90"/>
    <w:rsid w:val="226245F8"/>
    <w:rsid w:val="22634006"/>
    <w:rsid w:val="22662C9D"/>
    <w:rsid w:val="22663161"/>
    <w:rsid w:val="22670E32"/>
    <w:rsid w:val="22673AEB"/>
    <w:rsid w:val="22674988"/>
    <w:rsid w:val="22686DB2"/>
    <w:rsid w:val="226B2A87"/>
    <w:rsid w:val="226E6E81"/>
    <w:rsid w:val="22717432"/>
    <w:rsid w:val="22750D3F"/>
    <w:rsid w:val="227621A3"/>
    <w:rsid w:val="227907E5"/>
    <w:rsid w:val="227C54E2"/>
    <w:rsid w:val="227F42EF"/>
    <w:rsid w:val="228245EB"/>
    <w:rsid w:val="22830FB8"/>
    <w:rsid w:val="22835917"/>
    <w:rsid w:val="22872E89"/>
    <w:rsid w:val="22884D72"/>
    <w:rsid w:val="22886F15"/>
    <w:rsid w:val="22890D08"/>
    <w:rsid w:val="228A12A8"/>
    <w:rsid w:val="228A2D95"/>
    <w:rsid w:val="228C4222"/>
    <w:rsid w:val="228C5419"/>
    <w:rsid w:val="22962C71"/>
    <w:rsid w:val="229A6E23"/>
    <w:rsid w:val="229E1050"/>
    <w:rsid w:val="22A10973"/>
    <w:rsid w:val="22A1225D"/>
    <w:rsid w:val="22A138AC"/>
    <w:rsid w:val="22A2137C"/>
    <w:rsid w:val="22A22C71"/>
    <w:rsid w:val="22A5463D"/>
    <w:rsid w:val="22AE5C0D"/>
    <w:rsid w:val="22AF6F8E"/>
    <w:rsid w:val="22AF7D07"/>
    <w:rsid w:val="22B246E3"/>
    <w:rsid w:val="22B47B16"/>
    <w:rsid w:val="22B5266D"/>
    <w:rsid w:val="22B61A25"/>
    <w:rsid w:val="22B76BB9"/>
    <w:rsid w:val="22BA5A1B"/>
    <w:rsid w:val="22BE7C67"/>
    <w:rsid w:val="22C0585C"/>
    <w:rsid w:val="22C21BCB"/>
    <w:rsid w:val="22C43450"/>
    <w:rsid w:val="22C44902"/>
    <w:rsid w:val="22C4709E"/>
    <w:rsid w:val="22C6473B"/>
    <w:rsid w:val="22C90472"/>
    <w:rsid w:val="22CB7C46"/>
    <w:rsid w:val="22CE1385"/>
    <w:rsid w:val="22CF3719"/>
    <w:rsid w:val="22D26839"/>
    <w:rsid w:val="22D37B0F"/>
    <w:rsid w:val="22D56206"/>
    <w:rsid w:val="22DA01A9"/>
    <w:rsid w:val="22DC1BC0"/>
    <w:rsid w:val="22DF5E1F"/>
    <w:rsid w:val="22DF5F4C"/>
    <w:rsid w:val="22E15D5C"/>
    <w:rsid w:val="22E26F7C"/>
    <w:rsid w:val="22E33443"/>
    <w:rsid w:val="22E368BE"/>
    <w:rsid w:val="22E41064"/>
    <w:rsid w:val="22E54C74"/>
    <w:rsid w:val="22E743DB"/>
    <w:rsid w:val="22E82A36"/>
    <w:rsid w:val="22E87F95"/>
    <w:rsid w:val="22EA7281"/>
    <w:rsid w:val="22ED2103"/>
    <w:rsid w:val="22EF7CF2"/>
    <w:rsid w:val="22F07D04"/>
    <w:rsid w:val="22F22FB0"/>
    <w:rsid w:val="22F336AE"/>
    <w:rsid w:val="22F470A9"/>
    <w:rsid w:val="22F63EC6"/>
    <w:rsid w:val="22F71723"/>
    <w:rsid w:val="22FC13B1"/>
    <w:rsid w:val="22FD7FD3"/>
    <w:rsid w:val="22FF219A"/>
    <w:rsid w:val="23003210"/>
    <w:rsid w:val="230243B0"/>
    <w:rsid w:val="23030517"/>
    <w:rsid w:val="230407B4"/>
    <w:rsid w:val="2305766F"/>
    <w:rsid w:val="23072891"/>
    <w:rsid w:val="23084480"/>
    <w:rsid w:val="23093C41"/>
    <w:rsid w:val="23093CA4"/>
    <w:rsid w:val="230A6EDA"/>
    <w:rsid w:val="230F1E29"/>
    <w:rsid w:val="231018F3"/>
    <w:rsid w:val="23104EE9"/>
    <w:rsid w:val="23106343"/>
    <w:rsid w:val="23157806"/>
    <w:rsid w:val="23166318"/>
    <w:rsid w:val="231A4673"/>
    <w:rsid w:val="231B1CBC"/>
    <w:rsid w:val="231C4FA6"/>
    <w:rsid w:val="231D41CC"/>
    <w:rsid w:val="231E4D1E"/>
    <w:rsid w:val="23217062"/>
    <w:rsid w:val="232238E6"/>
    <w:rsid w:val="23251CB4"/>
    <w:rsid w:val="232D5CE0"/>
    <w:rsid w:val="233240C6"/>
    <w:rsid w:val="23327CA1"/>
    <w:rsid w:val="23384F1A"/>
    <w:rsid w:val="23394E18"/>
    <w:rsid w:val="233B642B"/>
    <w:rsid w:val="233C7F10"/>
    <w:rsid w:val="233F2F6F"/>
    <w:rsid w:val="23403BA2"/>
    <w:rsid w:val="23426E49"/>
    <w:rsid w:val="23440772"/>
    <w:rsid w:val="23446DCD"/>
    <w:rsid w:val="234648AD"/>
    <w:rsid w:val="2347267A"/>
    <w:rsid w:val="234E2FCC"/>
    <w:rsid w:val="2354123B"/>
    <w:rsid w:val="235438BF"/>
    <w:rsid w:val="23561618"/>
    <w:rsid w:val="235644A1"/>
    <w:rsid w:val="2356532A"/>
    <w:rsid w:val="23572204"/>
    <w:rsid w:val="23585A0D"/>
    <w:rsid w:val="235B4CC4"/>
    <w:rsid w:val="236279F1"/>
    <w:rsid w:val="23630D8D"/>
    <w:rsid w:val="236515AC"/>
    <w:rsid w:val="23673538"/>
    <w:rsid w:val="23696D46"/>
    <w:rsid w:val="237301AB"/>
    <w:rsid w:val="23755B5C"/>
    <w:rsid w:val="23774C9C"/>
    <w:rsid w:val="237A499A"/>
    <w:rsid w:val="237B5562"/>
    <w:rsid w:val="237C63B4"/>
    <w:rsid w:val="237E358D"/>
    <w:rsid w:val="23814F95"/>
    <w:rsid w:val="23825855"/>
    <w:rsid w:val="23856FB0"/>
    <w:rsid w:val="23877D9A"/>
    <w:rsid w:val="23894F39"/>
    <w:rsid w:val="238B1FBC"/>
    <w:rsid w:val="238B79DC"/>
    <w:rsid w:val="238E1444"/>
    <w:rsid w:val="23900283"/>
    <w:rsid w:val="23927375"/>
    <w:rsid w:val="239871B6"/>
    <w:rsid w:val="239B48E7"/>
    <w:rsid w:val="239B5F1C"/>
    <w:rsid w:val="23A10379"/>
    <w:rsid w:val="23A1187E"/>
    <w:rsid w:val="23A47583"/>
    <w:rsid w:val="23A86126"/>
    <w:rsid w:val="23AD0A66"/>
    <w:rsid w:val="23AE1268"/>
    <w:rsid w:val="23AE21BF"/>
    <w:rsid w:val="23AF7F8F"/>
    <w:rsid w:val="23B03FF1"/>
    <w:rsid w:val="23B05D8B"/>
    <w:rsid w:val="23B0739C"/>
    <w:rsid w:val="23B2323A"/>
    <w:rsid w:val="23B239D7"/>
    <w:rsid w:val="23B53341"/>
    <w:rsid w:val="23B57096"/>
    <w:rsid w:val="23B7196E"/>
    <w:rsid w:val="23BA5E07"/>
    <w:rsid w:val="23C16943"/>
    <w:rsid w:val="23C172B7"/>
    <w:rsid w:val="23C31D00"/>
    <w:rsid w:val="23C461F5"/>
    <w:rsid w:val="23C5223A"/>
    <w:rsid w:val="23C65C06"/>
    <w:rsid w:val="23C8635C"/>
    <w:rsid w:val="23CE6162"/>
    <w:rsid w:val="23D07473"/>
    <w:rsid w:val="23D2238A"/>
    <w:rsid w:val="23D30AE0"/>
    <w:rsid w:val="23D4368B"/>
    <w:rsid w:val="23D45C7E"/>
    <w:rsid w:val="23D51438"/>
    <w:rsid w:val="23D85D75"/>
    <w:rsid w:val="23D92A93"/>
    <w:rsid w:val="23D96FAB"/>
    <w:rsid w:val="23D97F72"/>
    <w:rsid w:val="23DA5923"/>
    <w:rsid w:val="23DB5BA2"/>
    <w:rsid w:val="23DD3C42"/>
    <w:rsid w:val="23DD6C52"/>
    <w:rsid w:val="23DE6853"/>
    <w:rsid w:val="23DF200F"/>
    <w:rsid w:val="23E0231F"/>
    <w:rsid w:val="23E0780D"/>
    <w:rsid w:val="23E2711D"/>
    <w:rsid w:val="23E34F85"/>
    <w:rsid w:val="23F45F0D"/>
    <w:rsid w:val="23F65B0D"/>
    <w:rsid w:val="23F67700"/>
    <w:rsid w:val="23F93DB0"/>
    <w:rsid w:val="23FE0ED2"/>
    <w:rsid w:val="24011A20"/>
    <w:rsid w:val="24016BD0"/>
    <w:rsid w:val="24035E83"/>
    <w:rsid w:val="240361C3"/>
    <w:rsid w:val="240462F5"/>
    <w:rsid w:val="2405349E"/>
    <w:rsid w:val="2405772C"/>
    <w:rsid w:val="24085106"/>
    <w:rsid w:val="240F3BD7"/>
    <w:rsid w:val="240F5BF5"/>
    <w:rsid w:val="24152FC0"/>
    <w:rsid w:val="24163C77"/>
    <w:rsid w:val="2417122C"/>
    <w:rsid w:val="241921F6"/>
    <w:rsid w:val="24197572"/>
    <w:rsid w:val="241A0BB5"/>
    <w:rsid w:val="241A35AB"/>
    <w:rsid w:val="241A55B0"/>
    <w:rsid w:val="241B3E47"/>
    <w:rsid w:val="241F0298"/>
    <w:rsid w:val="24284A85"/>
    <w:rsid w:val="24293170"/>
    <w:rsid w:val="242B024D"/>
    <w:rsid w:val="242B0ED6"/>
    <w:rsid w:val="242B64E6"/>
    <w:rsid w:val="242E75F4"/>
    <w:rsid w:val="24316FF8"/>
    <w:rsid w:val="24343666"/>
    <w:rsid w:val="2434537C"/>
    <w:rsid w:val="24364234"/>
    <w:rsid w:val="24377A3C"/>
    <w:rsid w:val="243E0368"/>
    <w:rsid w:val="243F3CA0"/>
    <w:rsid w:val="24420E8D"/>
    <w:rsid w:val="244226AC"/>
    <w:rsid w:val="2443561C"/>
    <w:rsid w:val="24466A8C"/>
    <w:rsid w:val="24486305"/>
    <w:rsid w:val="244975AC"/>
    <w:rsid w:val="245048D7"/>
    <w:rsid w:val="245070D5"/>
    <w:rsid w:val="245840AB"/>
    <w:rsid w:val="24595D55"/>
    <w:rsid w:val="245D179B"/>
    <w:rsid w:val="245E23D9"/>
    <w:rsid w:val="24614E08"/>
    <w:rsid w:val="246B0766"/>
    <w:rsid w:val="246C469B"/>
    <w:rsid w:val="246C52E7"/>
    <w:rsid w:val="246D1005"/>
    <w:rsid w:val="246F19D6"/>
    <w:rsid w:val="24723D2A"/>
    <w:rsid w:val="24725154"/>
    <w:rsid w:val="24726CA9"/>
    <w:rsid w:val="24751C3C"/>
    <w:rsid w:val="24753612"/>
    <w:rsid w:val="24773CBB"/>
    <w:rsid w:val="24791D7A"/>
    <w:rsid w:val="247A273F"/>
    <w:rsid w:val="247E7D82"/>
    <w:rsid w:val="24832BBE"/>
    <w:rsid w:val="2488034D"/>
    <w:rsid w:val="248B09C6"/>
    <w:rsid w:val="248C7EF8"/>
    <w:rsid w:val="24921517"/>
    <w:rsid w:val="24923607"/>
    <w:rsid w:val="24924C5D"/>
    <w:rsid w:val="2493586C"/>
    <w:rsid w:val="24964751"/>
    <w:rsid w:val="24971471"/>
    <w:rsid w:val="249D57E9"/>
    <w:rsid w:val="249F3CB9"/>
    <w:rsid w:val="24AF0121"/>
    <w:rsid w:val="24B024D3"/>
    <w:rsid w:val="24B67E14"/>
    <w:rsid w:val="24B9204E"/>
    <w:rsid w:val="24BA6BB2"/>
    <w:rsid w:val="24BC7B22"/>
    <w:rsid w:val="24C20FD4"/>
    <w:rsid w:val="24C26E79"/>
    <w:rsid w:val="24C40477"/>
    <w:rsid w:val="24C623A2"/>
    <w:rsid w:val="24C72CB8"/>
    <w:rsid w:val="24CC01E5"/>
    <w:rsid w:val="24CE1A63"/>
    <w:rsid w:val="24CE4627"/>
    <w:rsid w:val="24CF32C4"/>
    <w:rsid w:val="24D20FB8"/>
    <w:rsid w:val="24D272A7"/>
    <w:rsid w:val="24DA0A46"/>
    <w:rsid w:val="24DC767A"/>
    <w:rsid w:val="24DD58A4"/>
    <w:rsid w:val="24DE32AD"/>
    <w:rsid w:val="24DE39C5"/>
    <w:rsid w:val="24DF6C40"/>
    <w:rsid w:val="24E352D5"/>
    <w:rsid w:val="24E469E8"/>
    <w:rsid w:val="24E52BEB"/>
    <w:rsid w:val="24EA1677"/>
    <w:rsid w:val="24EB5871"/>
    <w:rsid w:val="24EE3805"/>
    <w:rsid w:val="24F201F2"/>
    <w:rsid w:val="24F30346"/>
    <w:rsid w:val="24F433F5"/>
    <w:rsid w:val="24F70E07"/>
    <w:rsid w:val="24F87BC0"/>
    <w:rsid w:val="24FB15FD"/>
    <w:rsid w:val="24FE7E30"/>
    <w:rsid w:val="24FF1551"/>
    <w:rsid w:val="24FF1C58"/>
    <w:rsid w:val="25021183"/>
    <w:rsid w:val="25053FD8"/>
    <w:rsid w:val="25055B19"/>
    <w:rsid w:val="25065F2F"/>
    <w:rsid w:val="250B62A6"/>
    <w:rsid w:val="2510349F"/>
    <w:rsid w:val="251161C5"/>
    <w:rsid w:val="251310D5"/>
    <w:rsid w:val="25146AB3"/>
    <w:rsid w:val="25154792"/>
    <w:rsid w:val="25187AA0"/>
    <w:rsid w:val="251C2557"/>
    <w:rsid w:val="251D1E32"/>
    <w:rsid w:val="251E7718"/>
    <w:rsid w:val="251E779B"/>
    <w:rsid w:val="251F703A"/>
    <w:rsid w:val="252114A9"/>
    <w:rsid w:val="25223156"/>
    <w:rsid w:val="252430C6"/>
    <w:rsid w:val="25250CAA"/>
    <w:rsid w:val="2526407E"/>
    <w:rsid w:val="25265843"/>
    <w:rsid w:val="252667F5"/>
    <w:rsid w:val="2527123A"/>
    <w:rsid w:val="25295DC2"/>
    <w:rsid w:val="252C5120"/>
    <w:rsid w:val="252D0281"/>
    <w:rsid w:val="2530462E"/>
    <w:rsid w:val="2530700E"/>
    <w:rsid w:val="2533088B"/>
    <w:rsid w:val="25345B53"/>
    <w:rsid w:val="253A0275"/>
    <w:rsid w:val="253A7ACA"/>
    <w:rsid w:val="253D0E95"/>
    <w:rsid w:val="253D15CF"/>
    <w:rsid w:val="253D1D09"/>
    <w:rsid w:val="253E49E6"/>
    <w:rsid w:val="25413390"/>
    <w:rsid w:val="254466A5"/>
    <w:rsid w:val="25492D68"/>
    <w:rsid w:val="2552368D"/>
    <w:rsid w:val="25526C09"/>
    <w:rsid w:val="255856BD"/>
    <w:rsid w:val="25594649"/>
    <w:rsid w:val="255A1E5B"/>
    <w:rsid w:val="255A2515"/>
    <w:rsid w:val="255B181E"/>
    <w:rsid w:val="255C5213"/>
    <w:rsid w:val="255D3620"/>
    <w:rsid w:val="255D4335"/>
    <w:rsid w:val="2561662A"/>
    <w:rsid w:val="256260D3"/>
    <w:rsid w:val="256303D7"/>
    <w:rsid w:val="2563590A"/>
    <w:rsid w:val="25677287"/>
    <w:rsid w:val="25707E1C"/>
    <w:rsid w:val="2572269B"/>
    <w:rsid w:val="25732C4C"/>
    <w:rsid w:val="25782FEA"/>
    <w:rsid w:val="25793443"/>
    <w:rsid w:val="257B25D6"/>
    <w:rsid w:val="257F66E4"/>
    <w:rsid w:val="258059A6"/>
    <w:rsid w:val="25810BD4"/>
    <w:rsid w:val="2589004F"/>
    <w:rsid w:val="258D1C43"/>
    <w:rsid w:val="258D4E55"/>
    <w:rsid w:val="258D5ADC"/>
    <w:rsid w:val="258F09CA"/>
    <w:rsid w:val="25900057"/>
    <w:rsid w:val="25942037"/>
    <w:rsid w:val="25977A21"/>
    <w:rsid w:val="25997EC8"/>
    <w:rsid w:val="259B0CD5"/>
    <w:rsid w:val="259B2968"/>
    <w:rsid w:val="25A002B3"/>
    <w:rsid w:val="25A069B3"/>
    <w:rsid w:val="25A419C3"/>
    <w:rsid w:val="25AD35ED"/>
    <w:rsid w:val="25AE0DC4"/>
    <w:rsid w:val="25B01643"/>
    <w:rsid w:val="25B354B8"/>
    <w:rsid w:val="25BA4F5D"/>
    <w:rsid w:val="25BE53C0"/>
    <w:rsid w:val="25BF40F0"/>
    <w:rsid w:val="25BF6A83"/>
    <w:rsid w:val="25C14079"/>
    <w:rsid w:val="25CA37EB"/>
    <w:rsid w:val="25CB572F"/>
    <w:rsid w:val="25CD3F6C"/>
    <w:rsid w:val="25CF4340"/>
    <w:rsid w:val="25D000DC"/>
    <w:rsid w:val="25D21079"/>
    <w:rsid w:val="25D42802"/>
    <w:rsid w:val="25D54958"/>
    <w:rsid w:val="25D64F2D"/>
    <w:rsid w:val="25D94A9E"/>
    <w:rsid w:val="25DA0604"/>
    <w:rsid w:val="25DD466F"/>
    <w:rsid w:val="25DE252B"/>
    <w:rsid w:val="25DE25FF"/>
    <w:rsid w:val="25E60770"/>
    <w:rsid w:val="25E62F46"/>
    <w:rsid w:val="25EB1DDF"/>
    <w:rsid w:val="25ED4D85"/>
    <w:rsid w:val="25F265DD"/>
    <w:rsid w:val="25F50461"/>
    <w:rsid w:val="25F515D8"/>
    <w:rsid w:val="25F61B6D"/>
    <w:rsid w:val="25F91100"/>
    <w:rsid w:val="25FC4F03"/>
    <w:rsid w:val="25FD1C2E"/>
    <w:rsid w:val="25FF5908"/>
    <w:rsid w:val="260031F2"/>
    <w:rsid w:val="26033E31"/>
    <w:rsid w:val="26047FB2"/>
    <w:rsid w:val="2606688A"/>
    <w:rsid w:val="260C317F"/>
    <w:rsid w:val="260C7AAB"/>
    <w:rsid w:val="260D3A0B"/>
    <w:rsid w:val="260D72A5"/>
    <w:rsid w:val="260E00E8"/>
    <w:rsid w:val="260E6D31"/>
    <w:rsid w:val="260F2CD6"/>
    <w:rsid w:val="26147A61"/>
    <w:rsid w:val="26156AD1"/>
    <w:rsid w:val="261B3707"/>
    <w:rsid w:val="261B406D"/>
    <w:rsid w:val="261C2D99"/>
    <w:rsid w:val="261C3190"/>
    <w:rsid w:val="261C7D3D"/>
    <w:rsid w:val="261F2F8F"/>
    <w:rsid w:val="261F5520"/>
    <w:rsid w:val="26204369"/>
    <w:rsid w:val="26217395"/>
    <w:rsid w:val="26263100"/>
    <w:rsid w:val="26263E0F"/>
    <w:rsid w:val="2629587A"/>
    <w:rsid w:val="262A4DBB"/>
    <w:rsid w:val="262C329F"/>
    <w:rsid w:val="262F6EDC"/>
    <w:rsid w:val="2633704A"/>
    <w:rsid w:val="26344519"/>
    <w:rsid w:val="26381AF4"/>
    <w:rsid w:val="26392472"/>
    <w:rsid w:val="263960A0"/>
    <w:rsid w:val="263E283B"/>
    <w:rsid w:val="263F259D"/>
    <w:rsid w:val="263F64F7"/>
    <w:rsid w:val="26407A91"/>
    <w:rsid w:val="26417FEC"/>
    <w:rsid w:val="26447229"/>
    <w:rsid w:val="264A3609"/>
    <w:rsid w:val="264A624E"/>
    <w:rsid w:val="264C3521"/>
    <w:rsid w:val="26500420"/>
    <w:rsid w:val="265044FD"/>
    <w:rsid w:val="26504BF6"/>
    <w:rsid w:val="265522B2"/>
    <w:rsid w:val="26570011"/>
    <w:rsid w:val="26582EF6"/>
    <w:rsid w:val="265857AF"/>
    <w:rsid w:val="265865E0"/>
    <w:rsid w:val="26592701"/>
    <w:rsid w:val="265B4920"/>
    <w:rsid w:val="265C02AB"/>
    <w:rsid w:val="265D4E69"/>
    <w:rsid w:val="265E46D8"/>
    <w:rsid w:val="26602CF3"/>
    <w:rsid w:val="26603CE8"/>
    <w:rsid w:val="26613D3D"/>
    <w:rsid w:val="26623B62"/>
    <w:rsid w:val="26634182"/>
    <w:rsid w:val="26675CBA"/>
    <w:rsid w:val="26676E3C"/>
    <w:rsid w:val="26690C9F"/>
    <w:rsid w:val="266B549F"/>
    <w:rsid w:val="266D585E"/>
    <w:rsid w:val="266E17FA"/>
    <w:rsid w:val="266F3E16"/>
    <w:rsid w:val="2674442E"/>
    <w:rsid w:val="267D03C6"/>
    <w:rsid w:val="267D444F"/>
    <w:rsid w:val="26821DF4"/>
    <w:rsid w:val="26840EAC"/>
    <w:rsid w:val="26845C8E"/>
    <w:rsid w:val="26856293"/>
    <w:rsid w:val="26873106"/>
    <w:rsid w:val="26881A68"/>
    <w:rsid w:val="26902FFB"/>
    <w:rsid w:val="269078EA"/>
    <w:rsid w:val="26911E65"/>
    <w:rsid w:val="2691445C"/>
    <w:rsid w:val="26933D07"/>
    <w:rsid w:val="269466C8"/>
    <w:rsid w:val="2695255B"/>
    <w:rsid w:val="269673E1"/>
    <w:rsid w:val="26975353"/>
    <w:rsid w:val="26980BF7"/>
    <w:rsid w:val="269A76BA"/>
    <w:rsid w:val="269B4063"/>
    <w:rsid w:val="269B4B91"/>
    <w:rsid w:val="269C4C04"/>
    <w:rsid w:val="269C6407"/>
    <w:rsid w:val="269E6E6B"/>
    <w:rsid w:val="269F5971"/>
    <w:rsid w:val="26A20459"/>
    <w:rsid w:val="26A43263"/>
    <w:rsid w:val="26A5064B"/>
    <w:rsid w:val="26A91B1C"/>
    <w:rsid w:val="26AB7D08"/>
    <w:rsid w:val="26AD1BF9"/>
    <w:rsid w:val="26AD4D6E"/>
    <w:rsid w:val="26B4399D"/>
    <w:rsid w:val="26B46184"/>
    <w:rsid w:val="26B90B9D"/>
    <w:rsid w:val="26B93452"/>
    <w:rsid w:val="26B94BEB"/>
    <w:rsid w:val="26BE1729"/>
    <w:rsid w:val="26C93DDD"/>
    <w:rsid w:val="26CC6D8D"/>
    <w:rsid w:val="26CD4699"/>
    <w:rsid w:val="26CF32BA"/>
    <w:rsid w:val="26D05C31"/>
    <w:rsid w:val="26D46E8A"/>
    <w:rsid w:val="26D5106A"/>
    <w:rsid w:val="26D56296"/>
    <w:rsid w:val="26D669A3"/>
    <w:rsid w:val="26DC5E8C"/>
    <w:rsid w:val="26E14620"/>
    <w:rsid w:val="26E2790D"/>
    <w:rsid w:val="26ED23E0"/>
    <w:rsid w:val="26EE473F"/>
    <w:rsid w:val="26EE4DCF"/>
    <w:rsid w:val="26F56B0E"/>
    <w:rsid w:val="26F659DE"/>
    <w:rsid w:val="26F6671B"/>
    <w:rsid w:val="26F738BC"/>
    <w:rsid w:val="26F7654B"/>
    <w:rsid w:val="26F8734E"/>
    <w:rsid w:val="26FC18F1"/>
    <w:rsid w:val="26FC5711"/>
    <w:rsid w:val="26FE711B"/>
    <w:rsid w:val="27040C71"/>
    <w:rsid w:val="27082311"/>
    <w:rsid w:val="27085482"/>
    <w:rsid w:val="270969C3"/>
    <w:rsid w:val="270E0678"/>
    <w:rsid w:val="270E0D02"/>
    <w:rsid w:val="27150746"/>
    <w:rsid w:val="271614B4"/>
    <w:rsid w:val="271902E6"/>
    <w:rsid w:val="27194962"/>
    <w:rsid w:val="271E3928"/>
    <w:rsid w:val="271E4436"/>
    <w:rsid w:val="271E73FC"/>
    <w:rsid w:val="27270EC3"/>
    <w:rsid w:val="27284437"/>
    <w:rsid w:val="272B331B"/>
    <w:rsid w:val="272C484F"/>
    <w:rsid w:val="272C6A3D"/>
    <w:rsid w:val="272D255F"/>
    <w:rsid w:val="27321C50"/>
    <w:rsid w:val="273242A2"/>
    <w:rsid w:val="27335D5B"/>
    <w:rsid w:val="273801A3"/>
    <w:rsid w:val="27383D0E"/>
    <w:rsid w:val="273A2A93"/>
    <w:rsid w:val="273A2E2C"/>
    <w:rsid w:val="273A7CB6"/>
    <w:rsid w:val="273D6090"/>
    <w:rsid w:val="27444718"/>
    <w:rsid w:val="274602B5"/>
    <w:rsid w:val="27477C93"/>
    <w:rsid w:val="274B5FB0"/>
    <w:rsid w:val="274C3922"/>
    <w:rsid w:val="274E7A9A"/>
    <w:rsid w:val="275279FE"/>
    <w:rsid w:val="275445BC"/>
    <w:rsid w:val="275466D8"/>
    <w:rsid w:val="2756766A"/>
    <w:rsid w:val="27585654"/>
    <w:rsid w:val="275A4610"/>
    <w:rsid w:val="275A5E82"/>
    <w:rsid w:val="275D3070"/>
    <w:rsid w:val="27620119"/>
    <w:rsid w:val="276441EF"/>
    <w:rsid w:val="27694006"/>
    <w:rsid w:val="276B5385"/>
    <w:rsid w:val="276C195F"/>
    <w:rsid w:val="276E3CB9"/>
    <w:rsid w:val="276F0C94"/>
    <w:rsid w:val="27701EE5"/>
    <w:rsid w:val="277279A4"/>
    <w:rsid w:val="2776200D"/>
    <w:rsid w:val="277917CF"/>
    <w:rsid w:val="277C3281"/>
    <w:rsid w:val="27807855"/>
    <w:rsid w:val="27811C18"/>
    <w:rsid w:val="27827CC0"/>
    <w:rsid w:val="278553A4"/>
    <w:rsid w:val="27873A60"/>
    <w:rsid w:val="278B1E7A"/>
    <w:rsid w:val="278B4F55"/>
    <w:rsid w:val="278C61A5"/>
    <w:rsid w:val="278D12FE"/>
    <w:rsid w:val="278E4A01"/>
    <w:rsid w:val="278E5155"/>
    <w:rsid w:val="27914A96"/>
    <w:rsid w:val="27914CA3"/>
    <w:rsid w:val="27972D05"/>
    <w:rsid w:val="27985977"/>
    <w:rsid w:val="279A7D61"/>
    <w:rsid w:val="279C71C9"/>
    <w:rsid w:val="279F4337"/>
    <w:rsid w:val="27A24F1A"/>
    <w:rsid w:val="27A3346F"/>
    <w:rsid w:val="27A42846"/>
    <w:rsid w:val="27A45E0F"/>
    <w:rsid w:val="27A45EE8"/>
    <w:rsid w:val="27A73C47"/>
    <w:rsid w:val="27A829CF"/>
    <w:rsid w:val="27A837FB"/>
    <w:rsid w:val="27AA3078"/>
    <w:rsid w:val="27AA703E"/>
    <w:rsid w:val="27AB0B1F"/>
    <w:rsid w:val="27AB51D8"/>
    <w:rsid w:val="27AF4059"/>
    <w:rsid w:val="27B72274"/>
    <w:rsid w:val="27B82EDE"/>
    <w:rsid w:val="27B86070"/>
    <w:rsid w:val="27B971E1"/>
    <w:rsid w:val="27BB379A"/>
    <w:rsid w:val="27BC1528"/>
    <w:rsid w:val="27BC371C"/>
    <w:rsid w:val="27C17492"/>
    <w:rsid w:val="27C612F8"/>
    <w:rsid w:val="27C67D89"/>
    <w:rsid w:val="27C71947"/>
    <w:rsid w:val="27CD2E29"/>
    <w:rsid w:val="27CF5065"/>
    <w:rsid w:val="27D03802"/>
    <w:rsid w:val="27D61ECC"/>
    <w:rsid w:val="27DB11AA"/>
    <w:rsid w:val="27DD33CB"/>
    <w:rsid w:val="27DE1064"/>
    <w:rsid w:val="27DE48A9"/>
    <w:rsid w:val="27DF0B03"/>
    <w:rsid w:val="27E02207"/>
    <w:rsid w:val="27E25765"/>
    <w:rsid w:val="27E31740"/>
    <w:rsid w:val="27E37FB2"/>
    <w:rsid w:val="27E4741D"/>
    <w:rsid w:val="27E56CE2"/>
    <w:rsid w:val="27E7667C"/>
    <w:rsid w:val="27E95EC6"/>
    <w:rsid w:val="27EC4953"/>
    <w:rsid w:val="27EE050A"/>
    <w:rsid w:val="27EF5D8A"/>
    <w:rsid w:val="27F5084A"/>
    <w:rsid w:val="27F5583E"/>
    <w:rsid w:val="27FB11F0"/>
    <w:rsid w:val="27FC4144"/>
    <w:rsid w:val="27FC7556"/>
    <w:rsid w:val="27FD1F52"/>
    <w:rsid w:val="27FD3CCC"/>
    <w:rsid w:val="27FE1EF7"/>
    <w:rsid w:val="280230BF"/>
    <w:rsid w:val="280521C5"/>
    <w:rsid w:val="28054EB3"/>
    <w:rsid w:val="280A6E8D"/>
    <w:rsid w:val="280E314F"/>
    <w:rsid w:val="280E602A"/>
    <w:rsid w:val="280F0EB1"/>
    <w:rsid w:val="280F7D31"/>
    <w:rsid w:val="281408C2"/>
    <w:rsid w:val="28150CC0"/>
    <w:rsid w:val="28154276"/>
    <w:rsid w:val="281558AC"/>
    <w:rsid w:val="281626F8"/>
    <w:rsid w:val="28190F94"/>
    <w:rsid w:val="281A38D4"/>
    <w:rsid w:val="281A7071"/>
    <w:rsid w:val="281C2E29"/>
    <w:rsid w:val="281D2166"/>
    <w:rsid w:val="281E1F07"/>
    <w:rsid w:val="28211A58"/>
    <w:rsid w:val="28226C99"/>
    <w:rsid w:val="28235C1D"/>
    <w:rsid w:val="28260D8C"/>
    <w:rsid w:val="28294505"/>
    <w:rsid w:val="282C54C5"/>
    <w:rsid w:val="282D711E"/>
    <w:rsid w:val="28330B86"/>
    <w:rsid w:val="283345E7"/>
    <w:rsid w:val="28366097"/>
    <w:rsid w:val="28394BA8"/>
    <w:rsid w:val="283B5EF7"/>
    <w:rsid w:val="283F1A19"/>
    <w:rsid w:val="28404697"/>
    <w:rsid w:val="28441060"/>
    <w:rsid w:val="28472874"/>
    <w:rsid w:val="28492D1C"/>
    <w:rsid w:val="284A2498"/>
    <w:rsid w:val="284B4056"/>
    <w:rsid w:val="284B4E4C"/>
    <w:rsid w:val="284B7C23"/>
    <w:rsid w:val="28504DDE"/>
    <w:rsid w:val="28513185"/>
    <w:rsid w:val="2852760B"/>
    <w:rsid w:val="28556442"/>
    <w:rsid w:val="2857445F"/>
    <w:rsid w:val="2859147A"/>
    <w:rsid w:val="28597AA6"/>
    <w:rsid w:val="285A39EC"/>
    <w:rsid w:val="285B1804"/>
    <w:rsid w:val="285B3106"/>
    <w:rsid w:val="285D4161"/>
    <w:rsid w:val="285E1230"/>
    <w:rsid w:val="285E1903"/>
    <w:rsid w:val="285F79E4"/>
    <w:rsid w:val="28635720"/>
    <w:rsid w:val="286736FC"/>
    <w:rsid w:val="28674398"/>
    <w:rsid w:val="28683630"/>
    <w:rsid w:val="286903B0"/>
    <w:rsid w:val="28695186"/>
    <w:rsid w:val="286A3CF7"/>
    <w:rsid w:val="286C6DA7"/>
    <w:rsid w:val="286D1A56"/>
    <w:rsid w:val="286F11E1"/>
    <w:rsid w:val="287057EB"/>
    <w:rsid w:val="28712C7E"/>
    <w:rsid w:val="28734321"/>
    <w:rsid w:val="287349B8"/>
    <w:rsid w:val="287361CD"/>
    <w:rsid w:val="28746989"/>
    <w:rsid w:val="28757A28"/>
    <w:rsid w:val="28763D57"/>
    <w:rsid w:val="287902B8"/>
    <w:rsid w:val="28795717"/>
    <w:rsid w:val="287A7047"/>
    <w:rsid w:val="287C14B0"/>
    <w:rsid w:val="287E686F"/>
    <w:rsid w:val="28815EAF"/>
    <w:rsid w:val="28876324"/>
    <w:rsid w:val="2889399A"/>
    <w:rsid w:val="288C6010"/>
    <w:rsid w:val="288D028B"/>
    <w:rsid w:val="288F5229"/>
    <w:rsid w:val="28930621"/>
    <w:rsid w:val="28967E39"/>
    <w:rsid w:val="28A01447"/>
    <w:rsid w:val="28A2187F"/>
    <w:rsid w:val="28A2242B"/>
    <w:rsid w:val="28A47655"/>
    <w:rsid w:val="28A51371"/>
    <w:rsid w:val="28A71137"/>
    <w:rsid w:val="28AA7F0B"/>
    <w:rsid w:val="28AD513D"/>
    <w:rsid w:val="28B37051"/>
    <w:rsid w:val="28B4006A"/>
    <w:rsid w:val="28B40F38"/>
    <w:rsid w:val="28B5291D"/>
    <w:rsid w:val="28B80CCF"/>
    <w:rsid w:val="28B93DD7"/>
    <w:rsid w:val="28B942E7"/>
    <w:rsid w:val="28BB1D75"/>
    <w:rsid w:val="28BC1799"/>
    <w:rsid w:val="28BC7170"/>
    <w:rsid w:val="28C020C7"/>
    <w:rsid w:val="28C02154"/>
    <w:rsid w:val="28C25B0C"/>
    <w:rsid w:val="28C3197E"/>
    <w:rsid w:val="28C3438E"/>
    <w:rsid w:val="28C42651"/>
    <w:rsid w:val="28C557B4"/>
    <w:rsid w:val="28C749CF"/>
    <w:rsid w:val="28CC4BEB"/>
    <w:rsid w:val="28CF0D52"/>
    <w:rsid w:val="28D04346"/>
    <w:rsid w:val="28D05615"/>
    <w:rsid w:val="28D44408"/>
    <w:rsid w:val="28D64975"/>
    <w:rsid w:val="28D823F3"/>
    <w:rsid w:val="28D91ECB"/>
    <w:rsid w:val="28DC038E"/>
    <w:rsid w:val="28DC1236"/>
    <w:rsid w:val="28DE6323"/>
    <w:rsid w:val="28DF4B0E"/>
    <w:rsid w:val="28E00CD1"/>
    <w:rsid w:val="28FA49E9"/>
    <w:rsid w:val="28FF3024"/>
    <w:rsid w:val="290431C0"/>
    <w:rsid w:val="290B45F0"/>
    <w:rsid w:val="290C0921"/>
    <w:rsid w:val="290D01FF"/>
    <w:rsid w:val="290D773D"/>
    <w:rsid w:val="290E5645"/>
    <w:rsid w:val="29105CB2"/>
    <w:rsid w:val="291320DA"/>
    <w:rsid w:val="291472AF"/>
    <w:rsid w:val="29177E7B"/>
    <w:rsid w:val="29184D35"/>
    <w:rsid w:val="291A39CF"/>
    <w:rsid w:val="291D2A59"/>
    <w:rsid w:val="291D41F3"/>
    <w:rsid w:val="291E5B04"/>
    <w:rsid w:val="291F5676"/>
    <w:rsid w:val="292040D2"/>
    <w:rsid w:val="29216F4D"/>
    <w:rsid w:val="292546F4"/>
    <w:rsid w:val="292B48B4"/>
    <w:rsid w:val="292E411F"/>
    <w:rsid w:val="29300B6D"/>
    <w:rsid w:val="29301788"/>
    <w:rsid w:val="293270D1"/>
    <w:rsid w:val="293308A9"/>
    <w:rsid w:val="2934190F"/>
    <w:rsid w:val="2934612C"/>
    <w:rsid w:val="2935097E"/>
    <w:rsid w:val="29362AA4"/>
    <w:rsid w:val="293900B3"/>
    <w:rsid w:val="293D2A2A"/>
    <w:rsid w:val="293F4D75"/>
    <w:rsid w:val="29403D83"/>
    <w:rsid w:val="29424BCA"/>
    <w:rsid w:val="29446448"/>
    <w:rsid w:val="294506EA"/>
    <w:rsid w:val="294530D9"/>
    <w:rsid w:val="294649BF"/>
    <w:rsid w:val="2947385F"/>
    <w:rsid w:val="294803ED"/>
    <w:rsid w:val="29490950"/>
    <w:rsid w:val="294D3C2C"/>
    <w:rsid w:val="294D407B"/>
    <w:rsid w:val="294D5DF4"/>
    <w:rsid w:val="294E4400"/>
    <w:rsid w:val="294F2C93"/>
    <w:rsid w:val="295248BB"/>
    <w:rsid w:val="295317CE"/>
    <w:rsid w:val="295529A9"/>
    <w:rsid w:val="29566BD1"/>
    <w:rsid w:val="29566ECA"/>
    <w:rsid w:val="295B7A61"/>
    <w:rsid w:val="2962039B"/>
    <w:rsid w:val="29665943"/>
    <w:rsid w:val="296A373A"/>
    <w:rsid w:val="296A46F4"/>
    <w:rsid w:val="296C6E7F"/>
    <w:rsid w:val="296D22A2"/>
    <w:rsid w:val="296D46F9"/>
    <w:rsid w:val="296E1E60"/>
    <w:rsid w:val="297544F7"/>
    <w:rsid w:val="29784B20"/>
    <w:rsid w:val="297A7460"/>
    <w:rsid w:val="297D3917"/>
    <w:rsid w:val="297F15CE"/>
    <w:rsid w:val="29824174"/>
    <w:rsid w:val="29831E00"/>
    <w:rsid w:val="29837268"/>
    <w:rsid w:val="298479A7"/>
    <w:rsid w:val="298672EE"/>
    <w:rsid w:val="2990011C"/>
    <w:rsid w:val="29900550"/>
    <w:rsid w:val="29917DF6"/>
    <w:rsid w:val="299202DB"/>
    <w:rsid w:val="29927049"/>
    <w:rsid w:val="2994684F"/>
    <w:rsid w:val="2997772F"/>
    <w:rsid w:val="29980D92"/>
    <w:rsid w:val="29997A58"/>
    <w:rsid w:val="299A37AE"/>
    <w:rsid w:val="299F1DEA"/>
    <w:rsid w:val="29A17BFE"/>
    <w:rsid w:val="29A23869"/>
    <w:rsid w:val="29A24BAB"/>
    <w:rsid w:val="29A35CD0"/>
    <w:rsid w:val="29A43A97"/>
    <w:rsid w:val="29AB5D74"/>
    <w:rsid w:val="29AB6E7C"/>
    <w:rsid w:val="29AD249C"/>
    <w:rsid w:val="29B028AA"/>
    <w:rsid w:val="29B45801"/>
    <w:rsid w:val="29B76FFE"/>
    <w:rsid w:val="29BA541C"/>
    <w:rsid w:val="29C122D7"/>
    <w:rsid w:val="29C716D8"/>
    <w:rsid w:val="29CF183C"/>
    <w:rsid w:val="29D74FBA"/>
    <w:rsid w:val="29D81F61"/>
    <w:rsid w:val="29DC172C"/>
    <w:rsid w:val="29DF02EA"/>
    <w:rsid w:val="29DF35C2"/>
    <w:rsid w:val="29E427A5"/>
    <w:rsid w:val="29E61FF6"/>
    <w:rsid w:val="29E85D54"/>
    <w:rsid w:val="29EE5A0B"/>
    <w:rsid w:val="29F3529A"/>
    <w:rsid w:val="29F65BB2"/>
    <w:rsid w:val="29FD359E"/>
    <w:rsid w:val="29FF0B62"/>
    <w:rsid w:val="2A036A14"/>
    <w:rsid w:val="2A0C4C60"/>
    <w:rsid w:val="2A0E5195"/>
    <w:rsid w:val="2A101A70"/>
    <w:rsid w:val="2A124BD1"/>
    <w:rsid w:val="2A13038C"/>
    <w:rsid w:val="2A133CB2"/>
    <w:rsid w:val="2A1F2C4F"/>
    <w:rsid w:val="2A2460D0"/>
    <w:rsid w:val="2A270D14"/>
    <w:rsid w:val="2A2A38D2"/>
    <w:rsid w:val="2A2B243A"/>
    <w:rsid w:val="2A2F67D9"/>
    <w:rsid w:val="2A3658EB"/>
    <w:rsid w:val="2A391776"/>
    <w:rsid w:val="2A396053"/>
    <w:rsid w:val="2A3D68D6"/>
    <w:rsid w:val="2A40019E"/>
    <w:rsid w:val="2A485D75"/>
    <w:rsid w:val="2A495079"/>
    <w:rsid w:val="2A4A4C2B"/>
    <w:rsid w:val="2A4A72A6"/>
    <w:rsid w:val="2A4E1356"/>
    <w:rsid w:val="2A515806"/>
    <w:rsid w:val="2A531774"/>
    <w:rsid w:val="2A536986"/>
    <w:rsid w:val="2A541D90"/>
    <w:rsid w:val="2A56336C"/>
    <w:rsid w:val="2A585665"/>
    <w:rsid w:val="2A590523"/>
    <w:rsid w:val="2A5A3373"/>
    <w:rsid w:val="2A5B052B"/>
    <w:rsid w:val="2A5B160D"/>
    <w:rsid w:val="2A60239F"/>
    <w:rsid w:val="2A6204E9"/>
    <w:rsid w:val="2A62332F"/>
    <w:rsid w:val="2A631810"/>
    <w:rsid w:val="2A65593E"/>
    <w:rsid w:val="2A663D74"/>
    <w:rsid w:val="2A6723FB"/>
    <w:rsid w:val="2A68408E"/>
    <w:rsid w:val="2A6869D8"/>
    <w:rsid w:val="2A691FF1"/>
    <w:rsid w:val="2A697E64"/>
    <w:rsid w:val="2A6A0731"/>
    <w:rsid w:val="2A6A36F2"/>
    <w:rsid w:val="2A6B6560"/>
    <w:rsid w:val="2A702C2A"/>
    <w:rsid w:val="2A772EC1"/>
    <w:rsid w:val="2A7761B4"/>
    <w:rsid w:val="2A7771CD"/>
    <w:rsid w:val="2A7866C1"/>
    <w:rsid w:val="2A7A0E33"/>
    <w:rsid w:val="2A7C1836"/>
    <w:rsid w:val="2A826506"/>
    <w:rsid w:val="2A827196"/>
    <w:rsid w:val="2A8301A1"/>
    <w:rsid w:val="2A865F5F"/>
    <w:rsid w:val="2A870834"/>
    <w:rsid w:val="2A87570A"/>
    <w:rsid w:val="2A877347"/>
    <w:rsid w:val="2A892D77"/>
    <w:rsid w:val="2A8C4923"/>
    <w:rsid w:val="2A8C56F8"/>
    <w:rsid w:val="2A8D5D54"/>
    <w:rsid w:val="2A8E68EA"/>
    <w:rsid w:val="2A906BF2"/>
    <w:rsid w:val="2A937640"/>
    <w:rsid w:val="2A945CDB"/>
    <w:rsid w:val="2AA142B6"/>
    <w:rsid w:val="2AA23E2C"/>
    <w:rsid w:val="2AA26471"/>
    <w:rsid w:val="2AA94314"/>
    <w:rsid w:val="2AAC0CB3"/>
    <w:rsid w:val="2AAD7B1C"/>
    <w:rsid w:val="2AAE4D43"/>
    <w:rsid w:val="2AAF5BBE"/>
    <w:rsid w:val="2AB0457A"/>
    <w:rsid w:val="2AB10361"/>
    <w:rsid w:val="2AB12EAA"/>
    <w:rsid w:val="2AB16CB7"/>
    <w:rsid w:val="2AB41668"/>
    <w:rsid w:val="2AB41768"/>
    <w:rsid w:val="2ABF3C13"/>
    <w:rsid w:val="2AC10DDC"/>
    <w:rsid w:val="2AC14DC8"/>
    <w:rsid w:val="2AC20A22"/>
    <w:rsid w:val="2AC3204C"/>
    <w:rsid w:val="2AC35609"/>
    <w:rsid w:val="2AC561C7"/>
    <w:rsid w:val="2AC6469A"/>
    <w:rsid w:val="2AC77961"/>
    <w:rsid w:val="2ACE0F1E"/>
    <w:rsid w:val="2ACE6B87"/>
    <w:rsid w:val="2AD02754"/>
    <w:rsid w:val="2AD05BBB"/>
    <w:rsid w:val="2AD374C3"/>
    <w:rsid w:val="2AD57011"/>
    <w:rsid w:val="2AD902E5"/>
    <w:rsid w:val="2ADA4E36"/>
    <w:rsid w:val="2ADC5A20"/>
    <w:rsid w:val="2AE00715"/>
    <w:rsid w:val="2AE43751"/>
    <w:rsid w:val="2AE621ED"/>
    <w:rsid w:val="2AEE3D29"/>
    <w:rsid w:val="2AF0286E"/>
    <w:rsid w:val="2AF15580"/>
    <w:rsid w:val="2AF166E2"/>
    <w:rsid w:val="2AF270AD"/>
    <w:rsid w:val="2AF338A9"/>
    <w:rsid w:val="2AF406B8"/>
    <w:rsid w:val="2AF51E74"/>
    <w:rsid w:val="2AF870FA"/>
    <w:rsid w:val="2AFA0F8D"/>
    <w:rsid w:val="2AFC7A0C"/>
    <w:rsid w:val="2AFE2455"/>
    <w:rsid w:val="2AFE7068"/>
    <w:rsid w:val="2AFF3BF3"/>
    <w:rsid w:val="2B0248F0"/>
    <w:rsid w:val="2B082798"/>
    <w:rsid w:val="2B093961"/>
    <w:rsid w:val="2B0B4435"/>
    <w:rsid w:val="2B0B49FA"/>
    <w:rsid w:val="2B102888"/>
    <w:rsid w:val="2B1053FE"/>
    <w:rsid w:val="2B126BCE"/>
    <w:rsid w:val="2B1362EA"/>
    <w:rsid w:val="2B142467"/>
    <w:rsid w:val="2B17571C"/>
    <w:rsid w:val="2B1757D4"/>
    <w:rsid w:val="2B1C418A"/>
    <w:rsid w:val="2B1D7BC7"/>
    <w:rsid w:val="2B226A96"/>
    <w:rsid w:val="2B236B57"/>
    <w:rsid w:val="2B282C87"/>
    <w:rsid w:val="2B2A3B50"/>
    <w:rsid w:val="2B2D01AA"/>
    <w:rsid w:val="2B2D1F37"/>
    <w:rsid w:val="2B2F419A"/>
    <w:rsid w:val="2B313F8C"/>
    <w:rsid w:val="2B315CC2"/>
    <w:rsid w:val="2B332F5E"/>
    <w:rsid w:val="2B3F131E"/>
    <w:rsid w:val="2B3F70D6"/>
    <w:rsid w:val="2B4116B4"/>
    <w:rsid w:val="2B440303"/>
    <w:rsid w:val="2B456B87"/>
    <w:rsid w:val="2B46560E"/>
    <w:rsid w:val="2B471E6F"/>
    <w:rsid w:val="2B4814BD"/>
    <w:rsid w:val="2B4E5CA5"/>
    <w:rsid w:val="2B4F3082"/>
    <w:rsid w:val="2B564CB2"/>
    <w:rsid w:val="2B5B73A0"/>
    <w:rsid w:val="2B631D0A"/>
    <w:rsid w:val="2B6360C2"/>
    <w:rsid w:val="2B691C72"/>
    <w:rsid w:val="2B6E5D29"/>
    <w:rsid w:val="2B707ECD"/>
    <w:rsid w:val="2B716BDC"/>
    <w:rsid w:val="2B734FAD"/>
    <w:rsid w:val="2B742F00"/>
    <w:rsid w:val="2B753DBE"/>
    <w:rsid w:val="2B7A1647"/>
    <w:rsid w:val="2B7A7900"/>
    <w:rsid w:val="2B7D3AE0"/>
    <w:rsid w:val="2B837138"/>
    <w:rsid w:val="2B8479D4"/>
    <w:rsid w:val="2B88293C"/>
    <w:rsid w:val="2B894465"/>
    <w:rsid w:val="2B8A27E9"/>
    <w:rsid w:val="2B8B652B"/>
    <w:rsid w:val="2B9C33EA"/>
    <w:rsid w:val="2BA064C2"/>
    <w:rsid w:val="2BA14AFC"/>
    <w:rsid w:val="2BA26E0B"/>
    <w:rsid w:val="2BA50F57"/>
    <w:rsid w:val="2BA83CBD"/>
    <w:rsid w:val="2BAD642B"/>
    <w:rsid w:val="2BAE40D9"/>
    <w:rsid w:val="2BB452E7"/>
    <w:rsid w:val="2BB528DB"/>
    <w:rsid w:val="2BB84170"/>
    <w:rsid w:val="2BBB36F7"/>
    <w:rsid w:val="2BBB59A3"/>
    <w:rsid w:val="2BBC32DF"/>
    <w:rsid w:val="2BBC7F47"/>
    <w:rsid w:val="2BBD19CB"/>
    <w:rsid w:val="2BBD3612"/>
    <w:rsid w:val="2BBE3D79"/>
    <w:rsid w:val="2BBF2423"/>
    <w:rsid w:val="2BC4428D"/>
    <w:rsid w:val="2BC46504"/>
    <w:rsid w:val="2BC7010F"/>
    <w:rsid w:val="2BC97813"/>
    <w:rsid w:val="2BCA36A3"/>
    <w:rsid w:val="2BCA442D"/>
    <w:rsid w:val="2BCC3FD3"/>
    <w:rsid w:val="2BCC52CA"/>
    <w:rsid w:val="2BD6116E"/>
    <w:rsid w:val="2BDB6D82"/>
    <w:rsid w:val="2BDC1FA7"/>
    <w:rsid w:val="2BDD2032"/>
    <w:rsid w:val="2BE16CC3"/>
    <w:rsid w:val="2BE404AB"/>
    <w:rsid w:val="2BE42C03"/>
    <w:rsid w:val="2BE478AD"/>
    <w:rsid w:val="2BE704EA"/>
    <w:rsid w:val="2BEA4D8F"/>
    <w:rsid w:val="2BEC18EB"/>
    <w:rsid w:val="2BEC1A9E"/>
    <w:rsid w:val="2BED759D"/>
    <w:rsid w:val="2BEF0D56"/>
    <w:rsid w:val="2BF1184C"/>
    <w:rsid w:val="2BF13FBB"/>
    <w:rsid w:val="2BF20770"/>
    <w:rsid w:val="2BF32163"/>
    <w:rsid w:val="2BF36F7D"/>
    <w:rsid w:val="2BF40D97"/>
    <w:rsid w:val="2BF61F1C"/>
    <w:rsid w:val="2BFB70D1"/>
    <w:rsid w:val="2BFD0A34"/>
    <w:rsid w:val="2BFE6BDC"/>
    <w:rsid w:val="2C020635"/>
    <w:rsid w:val="2C0377DC"/>
    <w:rsid w:val="2C076219"/>
    <w:rsid w:val="2C0B3B6E"/>
    <w:rsid w:val="2C0C21C3"/>
    <w:rsid w:val="2C101DAF"/>
    <w:rsid w:val="2C106ACD"/>
    <w:rsid w:val="2C122D77"/>
    <w:rsid w:val="2C18382C"/>
    <w:rsid w:val="2C197068"/>
    <w:rsid w:val="2C1B4701"/>
    <w:rsid w:val="2C1C2DC1"/>
    <w:rsid w:val="2C1D583C"/>
    <w:rsid w:val="2C1E4D2C"/>
    <w:rsid w:val="2C1F0FEF"/>
    <w:rsid w:val="2C2626D7"/>
    <w:rsid w:val="2C2B3AF1"/>
    <w:rsid w:val="2C2C0E91"/>
    <w:rsid w:val="2C310A99"/>
    <w:rsid w:val="2C334D97"/>
    <w:rsid w:val="2C34755E"/>
    <w:rsid w:val="2C364391"/>
    <w:rsid w:val="2C39230E"/>
    <w:rsid w:val="2C414B3E"/>
    <w:rsid w:val="2C463E15"/>
    <w:rsid w:val="2C4A3F7C"/>
    <w:rsid w:val="2C4D37EB"/>
    <w:rsid w:val="2C4D3830"/>
    <w:rsid w:val="2C505C29"/>
    <w:rsid w:val="2C5370A8"/>
    <w:rsid w:val="2C5C1AAD"/>
    <w:rsid w:val="2C5D1D30"/>
    <w:rsid w:val="2C6032C8"/>
    <w:rsid w:val="2C611026"/>
    <w:rsid w:val="2C644B22"/>
    <w:rsid w:val="2C6463B5"/>
    <w:rsid w:val="2C650A0B"/>
    <w:rsid w:val="2C672DF5"/>
    <w:rsid w:val="2C675EB0"/>
    <w:rsid w:val="2C6E2224"/>
    <w:rsid w:val="2C6E7759"/>
    <w:rsid w:val="2C737F4F"/>
    <w:rsid w:val="2C7A0191"/>
    <w:rsid w:val="2C7D44FC"/>
    <w:rsid w:val="2C8345A3"/>
    <w:rsid w:val="2C8A086A"/>
    <w:rsid w:val="2C8A1112"/>
    <w:rsid w:val="2C8C3868"/>
    <w:rsid w:val="2C8D1FAD"/>
    <w:rsid w:val="2C8D70DE"/>
    <w:rsid w:val="2C92222C"/>
    <w:rsid w:val="2C924056"/>
    <w:rsid w:val="2C9257AA"/>
    <w:rsid w:val="2C9566F0"/>
    <w:rsid w:val="2C9741E2"/>
    <w:rsid w:val="2C9745D4"/>
    <w:rsid w:val="2C9F0BCE"/>
    <w:rsid w:val="2CA074C9"/>
    <w:rsid w:val="2CA11222"/>
    <w:rsid w:val="2CA12730"/>
    <w:rsid w:val="2CA14453"/>
    <w:rsid w:val="2CA50764"/>
    <w:rsid w:val="2CA610D9"/>
    <w:rsid w:val="2CAD3875"/>
    <w:rsid w:val="2CAE7B53"/>
    <w:rsid w:val="2CAF4B8F"/>
    <w:rsid w:val="2CB05160"/>
    <w:rsid w:val="2CB31374"/>
    <w:rsid w:val="2CB375A7"/>
    <w:rsid w:val="2CB45ADB"/>
    <w:rsid w:val="2CB62E79"/>
    <w:rsid w:val="2CB97643"/>
    <w:rsid w:val="2CBB527E"/>
    <w:rsid w:val="2CBC669A"/>
    <w:rsid w:val="2CBF021B"/>
    <w:rsid w:val="2CC12507"/>
    <w:rsid w:val="2CC2410D"/>
    <w:rsid w:val="2CC37989"/>
    <w:rsid w:val="2CC47452"/>
    <w:rsid w:val="2CC67520"/>
    <w:rsid w:val="2CC82325"/>
    <w:rsid w:val="2CCE1E27"/>
    <w:rsid w:val="2CD022C2"/>
    <w:rsid w:val="2CD5228D"/>
    <w:rsid w:val="2CD755C9"/>
    <w:rsid w:val="2CD94536"/>
    <w:rsid w:val="2CDA7371"/>
    <w:rsid w:val="2CDD18AB"/>
    <w:rsid w:val="2CDD2642"/>
    <w:rsid w:val="2CDD5E0C"/>
    <w:rsid w:val="2CDD6BEF"/>
    <w:rsid w:val="2CE120E7"/>
    <w:rsid w:val="2CE43AFE"/>
    <w:rsid w:val="2CE55DA2"/>
    <w:rsid w:val="2CE64045"/>
    <w:rsid w:val="2CE80558"/>
    <w:rsid w:val="2CE82F84"/>
    <w:rsid w:val="2CEA55F7"/>
    <w:rsid w:val="2CEC61F6"/>
    <w:rsid w:val="2CEF5115"/>
    <w:rsid w:val="2CF00675"/>
    <w:rsid w:val="2CF11119"/>
    <w:rsid w:val="2CF34536"/>
    <w:rsid w:val="2CF41BD8"/>
    <w:rsid w:val="2CF925D7"/>
    <w:rsid w:val="2CFB79A9"/>
    <w:rsid w:val="2CFC0D3F"/>
    <w:rsid w:val="2CFF4BAA"/>
    <w:rsid w:val="2D001D8D"/>
    <w:rsid w:val="2D0658A1"/>
    <w:rsid w:val="2D08311A"/>
    <w:rsid w:val="2D104E65"/>
    <w:rsid w:val="2D1532FD"/>
    <w:rsid w:val="2D156403"/>
    <w:rsid w:val="2D164306"/>
    <w:rsid w:val="2D1713CC"/>
    <w:rsid w:val="2D1717AC"/>
    <w:rsid w:val="2D176B00"/>
    <w:rsid w:val="2D186552"/>
    <w:rsid w:val="2D190B30"/>
    <w:rsid w:val="2D1A6608"/>
    <w:rsid w:val="2D1E56E6"/>
    <w:rsid w:val="2D1F012D"/>
    <w:rsid w:val="2D1F1737"/>
    <w:rsid w:val="2D1F358A"/>
    <w:rsid w:val="2D211383"/>
    <w:rsid w:val="2D220C53"/>
    <w:rsid w:val="2D221C21"/>
    <w:rsid w:val="2D24342F"/>
    <w:rsid w:val="2D251404"/>
    <w:rsid w:val="2D251BA0"/>
    <w:rsid w:val="2D295B2D"/>
    <w:rsid w:val="2D297548"/>
    <w:rsid w:val="2D2D4643"/>
    <w:rsid w:val="2D2D67DB"/>
    <w:rsid w:val="2D3118EE"/>
    <w:rsid w:val="2D326E46"/>
    <w:rsid w:val="2D363FC5"/>
    <w:rsid w:val="2D3847BB"/>
    <w:rsid w:val="2D3A2360"/>
    <w:rsid w:val="2D3A68FE"/>
    <w:rsid w:val="2D3E5A77"/>
    <w:rsid w:val="2D403A63"/>
    <w:rsid w:val="2D417728"/>
    <w:rsid w:val="2D4256FA"/>
    <w:rsid w:val="2D43338D"/>
    <w:rsid w:val="2D4406BB"/>
    <w:rsid w:val="2D441AF6"/>
    <w:rsid w:val="2D4517F1"/>
    <w:rsid w:val="2D4626D1"/>
    <w:rsid w:val="2D49495D"/>
    <w:rsid w:val="2D4B0925"/>
    <w:rsid w:val="2D4D44CF"/>
    <w:rsid w:val="2D4D55FC"/>
    <w:rsid w:val="2D4D64E5"/>
    <w:rsid w:val="2D4D745E"/>
    <w:rsid w:val="2D4F592D"/>
    <w:rsid w:val="2D5077EC"/>
    <w:rsid w:val="2D542C1F"/>
    <w:rsid w:val="2D544E12"/>
    <w:rsid w:val="2D5A2018"/>
    <w:rsid w:val="2D5A6C89"/>
    <w:rsid w:val="2D5C3A34"/>
    <w:rsid w:val="2D5E4938"/>
    <w:rsid w:val="2D5E68D4"/>
    <w:rsid w:val="2D602036"/>
    <w:rsid w:val="2D602EC0"/>
    <w:rsid w:val="2D605CC7"/>
    <w:rsid w:val="2D65451C"/>
    <w:rsid w:val="2D67056D"/>
    <w:rsid w:val="2D676A7B"/>
    <w:rsid w:val="2D6819EA"/>
    <w:rsid w:val="2D690D4A"/>
    <w:rsid w:val="2D6A5B83"/>
    <w:rsid w:val="2D6D1344"/>
    <w:rsid w:val="2D6D2208"/>
    <w:rsid w:val="2D6E56A6"/>
    <w:rsid w:val="2D710722"/>
    <w:rsid w:val="2D725A0B"/>
    <w:rsid w:val="2D760240"/>
    <w:rsid w:val="2D76443E"/>
    <w:rsid w:val="2D79225D"/>
    <w:rsid w:val="2D7D488C"/>
    <w:rsid w:val="2D8003E5"/>
    <w:rsid w:val="2D807908"/>
    <w:rsid w:val="2D8368A5"/>
    <w:rsid w:val="2D843261"/>
    <w:rsid w:val="2D851DB7"/>
    <w:rsid w:val="2D855459"/>
    <w:rsid w:val="2D860B83"/>
    <w:rsid w:val="2D882C91"/>
    <w:rsid w:val="2D8B21AF"/>
    <w:rsid w:val="2D8C4466"/>
    <w:rsid w:val="2D8C7A89"/>
    <w:rsid w:val="2D9512E7"/>
    <w:rsid w:val="2D951DDB"/>
    <w:rsid w:val="2D953B3F"/>
    <w:rsid w:val="2D95562F"/>
    <w:rsid w:val="2D96320E"/>
    <w:rsid w:val="2D983FC9"/>
    <w:rsid w:val="2D9B564C"/>
    <w:rsid w:val="2D9E5C0E"/>
    <w:rsid w:val="2DA10102"/>
    <w:rsid w:val="2DA10BF2"/>
    <w:rsid w:val="2DA263FB"/>
    <w:rsid w:val="2DA36FDE"/>
    <w:rsid w:val="2DA43B02"/>
    <w:rsid w:val="2DA52817"/>
    <w:rsid w:val="2DA66355"/>
    <w:rsid w:val="2DA954DF"/>
    <w:rsid w:val="2DAD123F"/>
    <w:rsid w:val="2DB102D9"/>
    <w:rsid w:val="2DB449D3"/>
    <w:rsid w:val="2DB577A6"/>
    <w:rsid w:val="2DB76A47"/>
    <w:rsid w:val="2DBC144D"/>
    <w:rsid w:val="2DBF15E8"/>
    <w:rsid w:val="2DC00286"/>
    <w:rsid w:val="2DC23881"/>
    <w:rsid w:val="2DC303BB"/>
    <w:rsid w:val="2DC303D2"/>
    <w:rsid w:val="2DC35EE3"/>
    <w:rsid w:val="2DC54B23"/>
    <w:rsid w:val="2DC678B2"/>
    <w:rsid w:val="2DC73890"/>
    <w:rsid w:val="2DC767CF"/>
    <w:rsid w:val="2DC84EA2"/>
    <w:rsid w:val="2DC9147B"/>
    <w:rsid w:val="2DCA63A5"/>
    <w:rsid w:val="2DCC30CD"/>
    <w:rsid w:val="2DCF2915"/>
    <w:rsid w:val="2DD07872"/>
    <w:rsid w:val="2DD31471"/>
    <w:rsid w:val="2DD45324"/>
    <w:rsid w:val="2DD54968"/>
    <w:rsid w:val="2DD62F90"/>
    <w:rsid w:val="2DD733A0"/>
    <w:rsid w:val="2DD8707A"/>
    <w:rsid w:val="2DD95BB5"/>
    <w:rsid w:val="2DDA7D9A"/>
    <w:rsid w:val="2DDB5894"/>
    <w:rsid w:val="2DE37338"/>
    <w:rsid w:val="2DE568EA"/>
    <w:rsid w:val="2DE621EB"/>
    <w:rsid w:val="2DE654DB"/>
    <w:rsid w:val="2DE66E8B"/>
    <w:rsid w:val="2DF12BAE"/>
    <w:rsid w:val="2DF44B6C"/>
    <w:rsid w:val="2DF46B38"/>
    <w:rsid w:val="2DF6257C"/>
    <w:rsid w:val="2DF664DF"/>
    <w:rsid w:val="2DF958C8"/>
    <w:rsid w:val="2DFA3E72"/>
    <w:rsid w:val="2DFB04BA"/>
    <w:rsid w:val="2DFC1DB4"/>
    <w:rsid w:val="2DFD6350"/>
    <w:rsid w:val="2E057B80"/>
    <w:rsid w:val="2E063876"/>
    <w:rsid w:val="2E066439"/>
    <w:rsid w:val="2E091A92"/>
    <w:rsid w:val="2E096B50"/>
    <w:rsid w:val="2E0B44F8"/>
    <w:rsid w:val="2E0C421D"/>
    <w:rsid w:val="2E0C5B14"/>
    <w:rsid w:val="2E0E6BC3"/>
    <w:rsid w:val="2E123CEB"/>
    <w:rsid w:val="2E1349DE"/>
    <w:rsid w:val="2E177D0D"/>
    <w:rsid w:val="2E1804E5"/>
    <w:rsid w:val="2E190218"/>
    <w:rsid w:val="2E1A385B"/>
    <w:rsid w:val="2E1A5863"/>
    <w:rsid w:val="2E1D1AF4"/>
    <w:rsid w:val="2E1F2C52"/>
    <w:rsid w:val="2E1F7A4D"/>
    <w:rsid w:val="2E242DCE"/>
    <w:rsid w:val="2E250B8C"/>
    <w:rsid w:val="2E260CA0"/>
    <w:rsid w:val="2E290F9B"/>
    <w:rsid w:val="2E291233"/>
    <w:rsid w:val="2E2C048C"/>
    <w:rsid w:val="2E2C690B"/>
    <w:rsid w:val="2E317F4C"/>
    <w:rsid w:val="2E333137"/>
    <w:rsid w:val="2E33512B"/>
    <w:rsid w:val="2E354FA5"/>
    <w:rsid w:val="2E355E58"/>
    <w:rsid w:val="2E3616EC"/>
    <w:rsid w:val="2E3620AD"/>
    <w:rsid w:val="2E3C1D96"/>
    <w:rsid w:val="2E3D56CC"/>
    <w:rsid w:val="2E41145D"/>
    <w:rsid w:val="2E417E65"/>
    <w:rsid w:val="2E422446"/>
    <w:rsid w:val="2E426914"/>
    <w:rsid w:val="2E460E46"/>
    <w:rsid w:val="2E4E2B3D"/>
    <w:rsid w:val="2E4F1EED"/>
    <w:rsid w:val="2E4F35AB"/>
    <w:rsid w:val="2E517D7D"/>
    <w:rsid w:val="2E567CDD"/>
    <w:rsid w:val="2E575744"/>
    <w:rsid w:val="2E59752E"/>
    <w:rsid w:val="2E5C09CA"/>
    <w:rsid w:val="2E5C71D8"/>
    <w:rsid w:val="2E6151D5"/>
    <w:rsid w:val="2E674B69"/>
    <w:rsid w:val="2E6961D6"/>
    <w:rsid w:val="2E6D659F"/>
    <w:rsid w:val="2E6E012E"/>
    <w:rsid w:val="2E7120AD"/>
    <w:rsid w:val="2E721CE4"/>
    <w:rsid w:val="2E7257E6"/>
    <w:rsid w:val="2E745A4A"/>
    <w:rsid w:val="2E7704C9"/>
    <w:rsid w:val="2E780474"/>
    <w:rsid w:val="2E7A1A0E"/>
    <w:rsid w:val="2E7A4CE2"/>
    <w:rsid w:val="2E7C40EB"/>
    <w:rsid w:val="2E7C46D9"/>
    <w:rsid w:val="2E7F60C3"/>
    <w:rsid w:val="2E8050A8"/>
    <w:rsid w:val="2E8377A5"/>
    <w:rsid w:val="2E8571E2"/>
    <w:rsid w:val="2E895403"/>
    <w:rsid w:val="2E8B2B2C"/>
    <w:rsid w:val="2E8E2BB3"/>
    <w:rsid w:val="2E8E7C6A"/>
    <w:rsid w:val="2E936680"/>
    <w:rsid w:val="2E945651"/>
    <w:rsid w:val="2E962357"/>
    <w:rsid w:val="2E963610"/>
    <w:rsid w:val="2E986E87"/>
    <w:rsid w:val="2E9B0D16"/>
    <w:rsid w:val="2E9C78F0"/>
    <w:rsid w:val="2E9F62CA"/>
    <w:rsid w:val="2EA01B8F"/>
    <w:rsid w:val="2EA0459B"/>
    <w:rsid w:val="2EA07D49"/>
    <w:rsid w:val="2EA27294"/>
    <w:rsid w:val="2EA55F18"/>
    <w:rsid w:val="2EA76A27"/>
    <w:rsid w:val="2EAB1DE0"/>
    <w:rsid w:val="2EAC089C"/>
    <w:rsid w:val="2EAC09C0"/>
    <w:rsid w:val="2EAE0B78"/>
    <w:rsid w:val="2EAE26B8"/>
    <w:rsid w:val="2EAF48C1"/>
    <w:rsid w:val="2EB30787"/>
    <w:rsid w:val="2EB41EF8"/>
    <w:rsid w:val="2EB57C4F"/>
    <w:rsid w:val="2EB837A1"/>
    <w:rsid w:val="2EBB6E13"/>
    <w:rsid w:val="2EC054E9"/>
    <w:rsid w:val="2EC334C3"/>
    <w:rsid w:val="2EC36283"/>
    <w:rsid w:val="2EC55CF2"/>
    <w:rsid w:val="2EC74E95"/>
    <w:rsid w:val="2EC966CE"/>
    <w:rsid w:val="2ECA263B"/>
    <w:rsid w:val="2ECB32D8"/>
    <w:rsid w:val="2ECD4756"/>
    <w:rsid w:val="2ECE0FCC"/>
    <w:rsid w:val="2ECE283E"/>
    <w:rsid w:val="2ECF7C71"/>
    <w:rsid w:val="2ECF7E4A"/>
    <w:rsid w:val="2ED24924"/>
    <w:rsid w:val="2ED27087"/>
    <w:rsid w:val="2ED317C0"/>
    <w:rsid w:val="2ED54338"/>
    <w:rsid w:val="2ED76B26"/>
    <w:rsid w:val="2ED859B9"/>
    <w:rsid w:val="2EDA475C"/>
    <w:rsid w:val="2EDB225B"/>
    <w:rsid w:val="2EDB6CB5"/>
    <w:rsid w:val="2EDC0672"/>
    <w:rsid w:val="2EDE199C"/>
    <w:rsid w:val="2EDF2FFB"/>
    <w:rsid w:val="2EE3534E"/>
    <w:rsid w:val="2EE36B82"/>
    <w:rsid w:val="2EE533A4"/>
    <w:rsid w:val="2EE65873"/>
    <w:rsid w:val="2EE664DF"/>
    <w:rsid w:val="2EE702DB"/>
    <w:rsid w:val="2EE70FDE"/>
    <w:rsid w:val="2EE7371D"/>
    <w:rsid w:val="2EE9033B"/>
    <w:rsid w:val="2EE939F2"/>
    <w:rsid w:val="2EEB6F81"/>
    <w:rsid w:val="2EEC4436"/>
    <w:rsid w:val="2EED0996"/>
    <w:rsid w:val="2EED5399"/>
    <w:rsid w:val="2EF2258F"/>
    <w:rsid w:val="2EF31FC9"/>
    <w:rsid w:val="2EF43B29"/>
    <w:rsid w:val="2EF5302B"/>
    <w:rsid w:val="2EF6004F"/>
    <w:rsid w:val="2EF90424"/>
    <w:rsid w:val="2EFA4772"/>
    <w:rsid w:val="2EFB5FED"/>
    <w:rsid w:val="2EFC3895"/>
    <w:rsid w:val="2EFC7ED9"/>
    <w:rsid w:val="2F0109B0"/>
    <w:rsid w:val="2F012067"/>
    <w:rsid w:val="2F050107"/>
    <w:rsid w:val="2F0832F7"/>
    <w:rsid w:val="2F086050"/>
    <w:rsid w:val="2F092370"/>
    <w:rsid w:val="2F0A7365"/>
    <w:rsid w:val="2F0F789C"/>
    <w:rsid w:val="2F1067D6"/>
    <w:rsid w:val="2F111500"/>
    <w:rsid w:val="2F183B39"/>
    <w:rsid w:val="2F194D5F"/>
    <w:rsid w:val="2F1C3241"/>
    <w:rsid w:val="2F1F1328"/>
    <w:rsid w:val="2F1F1EE4"/>
    <w:rsid w:val="2F2605E2"/>
    <w:rsid w:val="2F2741CA"/>
    <w:rsid w:val="2F287362"/>
    <w:rsid w:val="2F295F86"/>
    <w:rsid w:val="2F2A0F6D"/>
    <w:rsid w:val="2F2C23A7"/>
    <w:rsid w:val="2F305D0E"/>
    <w:rsid w:val="2F306291"/>
    <w:rsid w:val="2F31112E"/>
    <w:rsid w:val="2F3435FA"/>
    <w:rsid w:val="2F3623ED"/>
    <w:rsid w:val="2F364F9A"/>
    <w:rsid w:val="2F3A03C2"/>
    <w:rsid w:val="2F3B11D7"/>
    <w:rsid w:val="2F3B4379"/>
    <w:rsid w:val="2F3C78B8"/>
    <w:rsid w:val="2F445882"/>
    <w:rsid w:val="2F454A04"/>
    <w:rsid w:val="2F472330"/>
    <w:rsid w:val="2F4A6A29"/>
    <w:rsid w:val="2F4B03E1"/>
    <w:rsid w:val="2F4B0914"/>
    <w:rsid w:val="2F4B58E6"/>
    <w:rsid w:val="2F4C6F97"/>
    <w:rsid w:val="2F4D41D4"/>
    <w:rsid w:val="2F4E3D0D"/>
    <w:rsid w:val="2F4E5A3D"/>
    <w:rsid w:val="2F4F3D9C"/>
    <w:rsid w:val="2F513171"/>
    <w:rsid w:val="2F524CC1"/>
    <w:rsid w:val="2F561AE3"/>
    <w:rsid w:val="2F594609"/>
    <w:rsid w:val="2F5C71DD"/>
    <w:rsid w:val="2F5C76D7"/>
    <w:rsid w:val="2F5F1BD7"/>
    <w:rsid w:val="2F5F310C"/>
    <w:rsid w:val="2F5F3CF6"/>
    <w:rsid w:val="2F60342C"/>
    <w:rsid w:val="2F612D62"/>
    <w:rsid w:val="2F623BEB"/>
    <w:rsid w:val="2F66364E"/>
    <w:rsid w:val="2F684213"/>
    <w:rsid w:val="2F695DC1"/>
    <w:rsid w:val="2F6A5DC3"/>
    <w:rsid w:val="2F7941A5"/>
    <w:rsid w:val="2F796C88"/>
    <w:rsid w:val="2F7D6CA4"/>
    <w:rsid w:val="2F7E66A0"/>
    <w:rsid w:val="2F803469"/>
    <w:rsid w:val="2F812A12"/>
    <w:rsid w:val="2F821E03"/>
    <w:rsid w:val="2F825EFF"/>
    <w:rsid w:val="2F835942"/>
    <w:rsid w:val="2F837D31"/>
    <w:rsid w:val="2F873FBB"/>
    <w:rsid w:val="2F874C0C"/>
    <w:rsid w:val="2F8825C2"/>
    <w:rsid w:val="2F883F71"/>
    <w:rsid w:val="2F892746"/>
    <w:rsid w:val="2F8B7864"/>
    <w:rsid w:val="2F8F4AE2"/>
    <w:rsid w:val="2F92196C"/>
    <w:rsid w:val="2F94017F"/>
    <w:rsid w:val="2F94507D"/>
    <w:rsid w:val="2F962E7F"/>
    <w:rsid w:val="2F964A78"/>
    <w:rsid w:val="2F98139A"/>
    <w:rsid w:val="2F9A3030"/>
    <w:rsid w:val="2F9B67B7"/>
    <w:rsid w:val="2F9C2229"/>
    <w:rsid w:val="2FA07B84"/>
    <w:rsid w:val="2FA10D08"/>
    <w:rsid w:val="2FA134C1"/>
    <w:rsid w:val="2FA324F1"/>
    <w:rsid w:val="2FA342DF"/>
    <w:rsid w:val="2FA3521E"/>
    <w:rsid w:val="2FA35F1E"/>
    <w:rsid w:val="2FA36CE3"/>
    <w:rsid w:val="2FA43AC7"/>
    <w:rsid w:val="2FA56985"/>
    <w:rsid w:val="2FAA4B5E"/>
    <w:rsid w:val="2FAC2791"/>
    <w:rsid w:val="2FAE4A39"/>
    <w:rsid w:val="2FAE686F"/>
    <w:rsid w:val="2FB2685A"/>
    <w:rsid w:val="2FB625CE"/>
    <w:rsid w:val="2FBA2B37"/>
    <w:rsid w:val="2FBD22DA"/>
    <w:rsid w:val="2FBD2772"/>
    <w:rsid w:val="2FBF3550"/>
    <w:rsid w:val="2FC16166"/>
    <w:rsid w:val="2FC365AF"/>
    <w:rsid w:val="2FC66F65"/>
    <w:rsid w:val="2FC67AA9"/>
    <w:rsid w:val="2FC84D9B"/>
    <w:rsid w:val="2FC90D83"/>
    <w:rsid w:val="2FCB0FF3"/>
    <w:rsid w:val="2FCC0593"/>
    <w:rsid w:val="2FCF2AC4"/>
    <w:rsid w:val="2FD17755"/>
    <w:rsid w:val="2FD625A5"/>
    <w:rsid w:val="2FD873A7"/>
    <w:rsid w:val="2FDA15E6"/>
    <w:rsid w:val="2FDB7525"/>
    <w:rsid w:val="2FDE151B"/>
    <w:rsid w:val="2FDE71EF"/>
    <w:rsid w:val="2FE20716"/>
    <w:rsid w:val="2FE2429F"/>
    <w:rsid w:val="2FE52729"/>
    <w:rsid w:val="2FE6396D"/>
    <w:rsid w:val="2FE85F11"/>
    <w:rsid w:val="2FE9252F"/>
    <w:rsid w:val="2FF03756"/>
    <w:rsid w:val="2FF5210F"/>
    <w:rsid w:val="2FF61B50"/>
    <w:rsid w:val="2FF66E3B"/>
    <w:rsid w:val="2FF70F8C"/>
    <w:rsid w:val="2FFB3A5C"/>
    <w:rsid w:val="2FFD0737"/>
    <w:rsid w:val="30037CDF"/>
    <w:rsid w:val="30056716"/>
    <w:rsid w:val="3006726E"/>
    <w:rsid w:val="300D1741"/>
    <w:rsid w:val="300D2D2C"/>
    <w:rsid w:val="300E05CC"/>
    <w:rsid w:val="30115976"/>
    <w:rsid w:val="30122F70"/>
    <w:rsid w:val="30126C9B"/>
    <w:rsid w:val="30140F3D"/>
    <w:rsid w:val="30187B2A"/>
    <w:rsid w:val="30196E5C"/>
    <w:rsid w:val="301E0778"/>
    <w:rsid w:val="30205BB1"/>
    <w:rsid w:val="30211CC3"/>
    <w:rsid w:val="30244E2C"/>
    <w:rsid w:val="30264DB3"/>
    <w:rsid w:val="30281235"/>
    <w:rsid w:val="3028215B"/>
    <w:rsid w:val="302A2A5B"/>
    <w:rsid w:val="302E7E69"/>
    <w:rsid w:val="303000C9"/>
    <w:rsid w:val="30320AFC"/>
    <w:rsid w:val="303223E7"/>
    <w:rsid w:val="30323358"/>
    <w:rsid w:val="30337DA9"/>
    <w:rsid w:val="303A7E7F"/>
    <w:rsid w:val="303B18B1"/>
    <w:rsid w:val="303E0253"/>
    <w:rsid w:val="303E20E5"/>
    <w:rsid w:val="303E2A7D"/>
    <w:rsid w:val="304540D1"/>
    <w:rsid w:val="304A04CB"/>
    <w:rsid w:val="304B3043"/>
    <w:rsid w:val="304D6798"/>
    <w:rsid w:val="30545BE4"/>
    <w:rsid w:val="305C5BED"/>
    <w:rsid w:val="305D705E"/>
    <w:rsid w:val="306C5DA9"/>
    <w:rsid w:val="306F539C"/>
    <w:rsid w:val="306F65A4"/>
    <w:rsid w:val="30703597"/>
    <w:rsid w:val="3074180D"/>
    <w:rsid w:val="30785BB8"/>
    <w:rsid w:val="307965A1"/>
    <w:rsid w:val="307D4E72"/>
    <w:rsid w:val="307E7F43"/>
    <w:rsid w:val="30813D65"/>
    <w:rsid w:val="308223D9"/>
    <w:rsid w:val="308355DC"/>
    <w:rsid w:val="30837BB3"/>
    <w:rsid w:val="308510FD"/>
    <w:rsid w:val="30873A7C"/>
    <w:rsid w:val="30890036"/>
    <w:rsid w:val="308A3DF7"/>
    <w:rsid w:val="308B4A4D"/>
    <w:rsid w:val="30957806"/>
    <w:rsid w:val="30960607"/>
    <w:rsid w:val="3099419C"/>
    <w:rsid w:val="309E1B2C"/>
    <w:rsid w:val="309F20D6"/>
    <w:rsid w:val="30A0776B"/>
    <w:rsid w:val="30A74390"/>
    <w:rsid w:val="30AB25AE"/>
    <w:rsid w:val="30AB7DB8"/>
    <w:rsid w:val="30B01367"/>
    <w:rsid w:val="30B020A7"/>
    <w:rsid w:val="30B26A64"/>
    <w:rsid w:val="30B33D9D"/>
    <w:rsid w:val="30B422CD"/>
    <w:rsid w:val="30B6072A"/>
    <w:rsid w:val="30B722D5"/>
    <w:rsid w:val="30B86F8B"/>
    <w:rsid w:val="30BC4D2E"/>
    <w:rsid w:val="30BE127A"/>
    <w:rsid w:val="30BF0255"/>
    <w:rsid w:val="30C05D58"/>
    <w:rsid w:val="30C4486E"/>
    <w:rsid w:val="30C83486"/>
    <w:rsid w:val="30CC7DDC"/>
    <w:rsid w:val="30CD2D22"/>
    <w:rsid w:val="30CE64FD"/>
    <w:rsid w:val="30D23D3D"/>
    <w:rsid w:val="30D31635"/>
    <w:rsid w:val="30D675F8"/>
    <w:rsid w:val="30D73B23"/>
    <w:rsid w:val="30D81DE0"/>
    <w:rsid w:val="30D9422D"/>
    <w:rsid w:val="30DA5ECF"/>
    <w:rsid w:val="30DF3B93"/>
    <w:rsid w:val="30DF45A5"/>
    <w:rsid w:val="30E167F8"/>
    <w:rsid w:val="30E16C1F"/>
    <w:rsid w:val="30E233EA"/>
    <w:rsid w:val="30E303EE"/>
    <w:rsid w:val="30E32FBE"/>
    <w:rsid w:val="30EA5BC3"/>
    <w:rsid w:val="30ED3F2C"/>
    <w:rsid w:val="30EF2C00"/>
    <w:rsid w:val="30EF5D59"/>
    <w:rsid w:val="30F13BDC"/>
    <w:rsid w:val="30F372E1"/>
    <w:rsid w:val="30F42DED"/>
    <w:rsid w:val="30F6067E"/>
    <w:rsid w:val="30F72CDB"/>
    <w:rsid w:val="30F747AF"/>
    <w:rsid w:val="30F871F7"/>
    <w:rsid w:val="30FA29A8"/>
    <w:rsid w:val="30FB2066"/>
    <w:rsid w:val="30FB667A"/>
    <w:rsid w:val="30FD5625"/>
    <w:rsid w:val="31054BE6"/>
    <w:rsid w:val="310862B9"/>
    <w:rsid w:val="310A3E5A"/>
    <w:rsid w:val="31104F82"/>
    <w:rsid w:val="31130D08"/>
    <w:rsid w:val="31170562"/>
    <w:rsid w:val="311760CC"/>
    <w:rsid w:val="311874E0"/>
    <w:rsid w:val="311A0D08"/>
    <w:rsid w:val="31220556"/>
    <w:rsid w:val="31233493"/>
    <w:rsid w:val="3124049C"/>
    <w:rsid w:val="312543B3"/>
    <w:rsid w:val="312710A7"/>
    <w:rsid w:val="31271B8F"/>
    <w:rsid w:val="31290D27"/>
    <w:rsid w:val="31297137"/>
    <w:rsid w:val="312A10B3"/>
    <w:rsid w:val="312A5AF2"/>
    <w:rsid w:val="312B076A"/>
    <w:rsid w:val="312D5506"/>
    <w:rsid w:val="312F4B96"/>
    <w:rsid w:val="31314695"/>
    <w:rsid w:val="313518CD"/>
    <w:rsid w:val="31360102"/>
    <w:rsid w:val="313646A7"/>
    <w:rsid w:val="31383502"/>
    <w:rsid w:val="313927AB"/>
    <w:rsid w:val="313F395D"/>
    <w:rsid w:val="313F4C57"/>
    <w:rsid w:val="3140529F"/>
    <w:rsid w:val="3145281C"/>
    <w:rsid w:val="31487ACF"/>
    <w:rsid w:val="314B6D3D"/>
    <w:rsid w:val="314C00CA"/>
    <w:rsid w:val="314F078E"/>
    <w:rsid w:val="31532620"/>
    <w:rsid w:val="315504A1"/>
    <w:rsid w:val="3155491D"/>
    <w:rsid w:val="315644BE"/>
    <w:rsid w:val="315816E0"/>
    <w:rsid w:val="31597817"/>
    <w:rsid w:val="315A6BEF"/>
    <w:rsid w:val="315C02C4"/>
    <w:rsid w:val="315C6041"/>
    <w:rsid w:val="315E2BE3"/>
    <w:rsid w:val="315F0BF1"/>
    <w:rsid w:val="31613337"/>
    <w:rsid w:val="316A2EA9"/>
    <w:rsid w:val="316D6B77"/>
    <w:rsid w:val="316E4F88"/>
    <w:rsid w:val="316F1734"/>
    <w:rsid w:val="316F79ED"/>
    <w:rsid w:val="31711E7E"/>
    <w:rsid w:val="31732539"/>
    <w:rsid w:val="317328BA"/>
    <w:rsid w:val="31751271"/>
    <w:rsid w:val="31756F6F"/>
    <w:rsid w:val="31766DD8"/>
    <w:rsid w:val="317715C8"/>
    <w:rsid w:val="31790712"/>
    <w:rsid w:val="317B36CB"/>
    <w:rsid w:val="317C2823"/>
    <w:rsid w:val="317D0EC8"/>
    <w:rsid w:val="3180210E"/>
    <w:rsid w:val="3185022D"/>
    <w:rsid w:val="31866922"/>
    <w:rsid w:val="31886BF3"/>
    <w:rsid w:val="318A6E87"/>
    <w:rsid w:val="318D4B5A"/>
    <w:rsid w:val="318E25CD"/>
    <w:rsid w:val="318F672B"/>
    <w:rsid w:val="31912106"/>
    <w:rsid w:val="31912CEA"/>
    <w:rsid w:val="31965BE2"/>
    <w:rsid w:val="319779E2"/>
    <w:rsid w:val="319B1D3F"/>
    <w:rsid w:val="31A144BB"/>
    <w:rsid w:val="31A251AA"/>
    <w:rsid w:val="31A35621"/>
    <w:rsid w:val="31AF3544"/>
    <w:rsid w:val="31AF554D"/>
    <w:rsid w:val="31B01322"/>
    <w:rsid w:val="31B2700D"/>
    <w:rsid w:val="31B41822"/>
    <w:rsid w:val="31B476E6"/>
    <w:rsid w:val="31B52744"/>
    <w:rsid w:val="31B75A24"/>
    <w:rsid w:val="31BE2ABE"/>
    <w:rsid w:val="31C733B1"/>
    <w:rsid w:val="31CB4873"/>
    <w:rsid w:val="31D15FA6"/>
    <w:rsid w:val="31D26417"/>
    <w:rsid w:val="31D30787"/>
    <w:rsid w:val="31DA72E0"/>
    <w:rsid w:val="31E345FF"/>
    <w:rsid w:val="31E81269"/>
    <w:rsid w:val="31EA6386"/>
    <w:rsid w:val="31EC0BD0"/>
    <w:rsid w:val="31EC5C09"/>
    <w:rsid w:val="31ED79DB"/>
    <w:rsid w:val="31EE6BC1"/>
    <w:rsid w:val="31F05488"/>
    <w:rsid w:val="31F175ED"/>
    <w:rsid w:val="31F21B57"/>
    <w:rsid w:val="31F322D0"/>
    <w:rsid w:val="31F343F3"/>
    <w:rsid w:val="31F859CF"/>
    <w:rsid w:val="31F909A4"/>
    <w:rsid w:val="31F97A20"/>
    <w:rsid w:val="31FB0EC5"/>
    <w:rsid w:val="31FB142A"/>
    <w:rsid w:val="31FE2C1A"/>
    <w:rsid w:val="32010E5B"/>
    <w:rsid w:val="320379BB"/>
    <w:rsid w:val="3205739C"/>
    <w:rsid w:val="320B561C"/>
    <w:rsid w:val="32101165"/>
    <w:rsid w:val="32106D8B"/>
    <w:rsid w:val="32130949"/>
    <w:rsid w:val="32155BB1"/>
    <w:rsid w:val="3215645A"/>
    <w:rsid w:val="32175046"/>
    <w:rsid w:val="3218079C"/>
    <w:rsid w:val="32184B31"/>
    <w:rsid w:val="321A3F2B"/>
    <w:rsid w:val="321B0A3F"/>
    <w:rsid w:val="321B16D6"/>
    <w:rsid w:val="32227CC0"/>
    <w:rsid w:val="32251BE6"/>
    <w:rsid w:val="322673CB"/>
    <w:rsid w:val="32274028"/>
    <w:rsid w:val="322E2221"/>
    <w:rsid w:val="322E5B9A"/>
    <w:rsid w:val="322F0DF4"/>
    <w:rsid w:val="32304F39"/>
    <w:rsid w:val="32317735"/>
    <w:rsid w:val="32380CD6"/>
    <w:rsid w:val="3238198D"/>
    <w:rsid w:val="32384EB4"/>
    <w:rsid w:val="323A63E1"/>
    <w:rsid w:val="323A67C1"/>
    <w:rsid w:val="323F62F2"/>
    <w:rsid w:val="32403FE2"/>
    <w:rsid w:val="324117DA"/>
    <w:rsid w:val="32426DDE"/>
    <w:rsid w:val="32474284"/>
    <w:rsid w:val="324B6737"/>
    <w:rsid w:val="324D669E"/>
    <w:rsid w:val="32505427"/>
    <w:rsid w:val="32513442"/>
    <w:rsid w:val="32550AF7"/>
    <w:rsid w:val="32562D33"/>
    <w:rsid w:val="32571678"/>
    <w:rsid w:val="325775A0"/>
    <w:rsid w:val="32583128"/>
    <w:rsid w:val="325A75A1"/>
    <w:rsid w:val="325E4E1C"/>
    <w:rsid w:val="325E6763"/>
    <w:rsid w:val="325E7D87"/>
    <w:rsid w:val="32614619"/>
    <w:rsid w:val="32642AA7"/>
    <w:rsid w:val="32654356"/>
    <w:rsid w:val="32661234"/>
    <w:rsid w:val="326A576A"/>
    <w:rsid w:val="32705DF0"/>
    <w:rsid w:val="327D0F12"/>
    <w:rsid w:val="327F5AC8"/>
    <w:rsid w:val="327F638A"/>
    <w:rsid w:val="32801157"/>
    <w:rsid w:val="3280786B"/>
    <w:rsid w:val="32882239"/>
    <w:rsid w:val="328953CC"/>
    <w:rsid w:val="328B3021"/>
    <w:rsid w:val="328D0723"/>
    <w:rsid w:val="328D7F5C"/>
    <w:rsid w:val="32900237"/>
    <w:rsid w:val="329403CB"/>
    <w:rsid w:val="32980E4C"/>
    <w:rsid w:val="32983CF7"/>
    <w:rsid w:val="329C3735"/>
    <w:rsid w:val="32A03370"/>
    <w:rsid w:val="32A060D0"/>
    <w:rsid w:val="32A20CF5"/>
    <w:rsid w:val="32A2250B"/>
    <w:rsid w:val="32A23DBA"/>
    <w:rsid w:val="32A40A9B"/>
    <w:rsid w:val="32A7293C"/>
    <w:rsid w:val="32AA46C8"/>
    <w:rsid w:val="32AC700A"/>
    <w:rsid w:val="32AD70C1"/>
    <w:rsid w:val="32AF0FB3"/>
    <w:rsid w:val="32B31FE1"/>
    <w:rsid w:val="32B345CD"/>
    <w:rsid w:val="32B40152"/>
    <w:rsid w:val="32B91D17"/>
    <w:rsid w:val="32B93BE4"/>
    <w:rsid w:val="32C02ABE"/>
    <w:rsid w:val="32C220C4"/>
    <w:rsid w:val="32C22A40"/>
    <w:rsid w:val="32C32957"/>
    <w:rsid w:val="32C676C9"/>
    <w:rsid w:val="32C72473"/>
    <w:rsid w:val="32C8399D"/>
    <w:rsid w:val="32CB5BAA"/>
    <w:rsid w:val="32CE722C"/>
    <w:rsid w:val="32CE76C9"/>
    <w:rsid w:val="32CF2ED3"/>
    <w:rsid w:val="32CF6A9D"/>
    <w:rsid w:val="32D116E9"/>
    <w:rsid w:val="32D162FE"/>
    <w:rsid w:val="32D205F3"/>
    <w:rsid w:val="32D23032"/>
    <w:rsid w:val="32D30CF6"/>
    <w:rsid w:val="32D31882"/>
    <w:rsid w:val="32D44350"/>
    <w:rsid w:val="32DA5F1E"/>
    <w:rsid w:val="32DD280D"/>
    <w:rsid w:val="32DE466E"/>
    <w:rsid w:val="32DF627E"/>
    <w:rsid w:val="32E156DE"/>
    <w:rsid w:val="32E5696B"/>
    <w:rsid w:val="32E61CC3"/>
    <w:rsid w:val="32E65440"/>
    <w:rsid w:val="32E70B0E"/>
    <w:rsid w:val="32E9434D"/>
    <w:rsid w:val="32EA0B61"/>
    <w:rsid w:val="32EA6D48"/>
    <w:rsid w:val="32EC180E"/>
    <w:rsid w:val="32EC1CF2"/>
    <w:rsid w:val="32EC43F2"/>
    <w:rsid w:val="32ED3AD7"/>
    <w:rsid w:val="32F25B25"/>
    <w:rsid w:val="32F50974"/>
    <w:rsid w:val="32F51D06"/>
    <w:rsid w:val="32F52F92"/>
    <w:rsid w:val="32F700B8"/>
    <w:rsid w:val="32F865C7"/>
    <w:rsid w:val="32F87E44"/>
    <w:rsid w:val="32F9328E"/>
    <w:rsid w:val="32FA1005"/>
    <w:rsid w:val="32FD565E"/>
    <w:rsid w:val="32FE136D"/>
    <w:rsid w:val="32FF17B2"/>
    <w:rsid w:val="32FF71F4"/>
    <w:rsid w:val="33005C3A"/>
    <w:rsid w:val="33014363"/>
    <w:rsid w:val="3302471A"/>
    <w:rsid w:val="330415C2"/>
    <w:rsid w:val="330810D9"/>
    <w:rsid w:val="33085D01"/>
    <w:rsid w:val="33086A8C"/>
    <w:rsid w:val="33096C4B"/>
    <w:rsid w:val="330A75ED"/>
    <w:rsid w:val="330D4884"/>
    <w:rsid w:val="330F450E"/>
    <w:rsid w:val="330F74F2"/>
    <w:rsid w:val="33100459"/>
    <w:rsid w:val="331403B9"/>
    <w:rsid w:val="331919EB"/>
    <w:rsid w:val="331A1EA7"/>
    <w:rsid w:val="331A5663"/>
    <w:rsid w:val="331F06BC"/>
    <w:rsid w:val="33200104"/>
    <w:rsid w:val="332211C1"/>
    <w:rsid w:val="332523E8"/>
    <w:rsid w:val="332545EB"/>
    <w:rsid w:val="332B2EF2"/>
    <w:rsid w:val="332E03AE"/>
    <w:rsid w:val="3334714A"/>
    <w:rsid w:val="333507E4"/>
    <w:rsid w:val="33376B10"/>
    <w:rsid w:val="33383308"/>
    <w:rsid w:val="333B5BD5"/>
    <w:rsid w:val="333E1FB3"/>
    <w:rsid w:val="333E3F79"/>
    <w:rsid w:val="333F15E9"/>
    <w:rsid w:val="33401EB8"/>
    <w:rsid w:val="33402F5C"/>
    <w:rsid w:val="334266DD"/>
    <w:rsid w:val="33474580"/>
    <w:rsid w:val="33480718"/>
    <w:rsid w:val="33481E95"/>
    <w:rsid w:val="33496758"/>
    <w:rsid w:val="334B4D3B"/>
    <w:rsid w:val="334B4F21"/>
    <w:rsid w:val="334D501C"/>
    <w:rsid w:val="334F0BB9"/>
    <w:rsid w:val="334F63F1"/>
    <w:rsid w:val="335003F1"/>
    <w:rsid w:val="335175A5"/>
    <w:rsid w:val="3354506C"/>
    <w:rsid w:val="33551CA0"/>
    <w:rsid w:val="33560622"/>
    <w:rsid w:val="335817EF"/>
    <w:rsid w:val="335929D7"/>
    <w:rsid w:val="33592CB1"/>
    <w:rsid w:val="335D257A"/>
    <w:rsid w:val="33614641"/>
    <w:rsid w:val="33634967"/>
    <w:rsid w:val="33663824"/>
    <w:rsid w:val="3367520B"/>
    <w:rsid w:val="33676CC6"/>
    <w:rsid w:val="336A0011"/>
    <w:rsid w:val="336D222B"/>
    <w:rsid w:val="336E5E38"/>
    <w:rsid w:val="336E65D4"/>
    <w:rsid w:val="336E66F8"/>
    <w:rsid w:val="33706908"/>
    <w:rsid w:val="33723548"/>
    <w:rsid w:val="3375365C"/>
    <w:rsid w:val="337614B6"/>
    <w:rsid w:val="337A69C6"/>
    <w:rsid w:val="337D15E1"/>
    <w:rsid w:val="337D354D"/>
    <w:rsid w:val="337E1C04"/>
    <w:rsid w:val="33801CDF"/>
    <w:rsid w:val="3380346C"/>
    <w:rsid w:val="338A3EDE"/>
    <w:rsid w:val="338B0231"/>
    <w:rsid w:val="338B5CC6"/>
    <w:rsid w:val="338D65C5"/>
    <w:rsid w:val="338E0FB6"/>
    <w:rsid w:val="338F762F"/>
    <w:rsid w:val="33911238"/>
    <w:rsid w:val="33920EEE"/>
    <w:rsid w:val="339361C1"/>
    <w:rsid w:val="33941803"/>
    <w:rsid w:val="33971AA2"/>
    <w:rsid w:val="339760BF"/>
    <w:rsid w:val="33984569"/>
    <w:rsid w:val="33991C1B"/>
    <w:rsid w:val="33993E90"/>
    <w:rsid w:val="339B1702"/>
    <w:rsid w:val="339F4714"/>
    <w:rsid w:val="33A07625"/>
    <w:rsid w:val="33A42296"/>
    <w:rsid w:val="33A96FB0"/>
    <w:rsid w:val="33AA60AE"/>
    <w:rsid w:val="33AB2788"/>
    <w:rsid w:val="33AC32A6"/>
    <w:rsid w:val="33AD122E"/>
    <w:rsid w:val="33B57B45"/>
    <w:rsid w:val="33B927F2"/>
    <w:rsid w:val="33C230A3"/>
    <w:rsid w:val="33C242DA"/>
    <w:rsid w:val="33CA023A"/>
    <w:rsid w:val="33CA3F52"/>
    <w:rsid w:val="33CD116A"/>
    <w:rsid w:val="33CE7810"/>
    <w:rsid w:val="33D01C31"/>
    <w:rsid w:val="33D073CD"/>
    <w:rsid w:val="33D07FEA"/>
    <w:rsid w:val="33D5758B"/>
    <w:rsid w:val="33DA58D2"/>
    <w:rsid w:val="33DD39EE"/>
    <w:rsid w:val="33DE223C"/>
    <w:rsid w:val="33E26086"/>
    <w:rsid w:val="33E4091B"/>
    <w:rsid w:val="33E40D05"/>
    <w:rsid w:val="33E632B0"/>
    <w:rsid w:val="33EA2A81"/>
    <w:rsid w:val="33EB0357"/>
    <w:rsid w:val="33EB29E2"/>
    <w:rsid w:val="33EC5909"/>
    <w:rsid w:val="33EF551F"/>
    <w:rsid w:val="33F2608E"/>
    <w:rsid w:val="33F33D1F"/>
    <w:rsid w:val="33F45757"/>
    <w:rsid w:val="33FB6ED8"/>
    <w:rsid w:val="33FB741D"/>
    <w:rsid w:val="33FC774A"/>
    <w:rsid w:val="33FE0FA9"/>
    <w:rsid w:val="3403404A"/>
    <w:rsid w:val="34054243"/>
    <w:rsid w:val="34055AC0"/>
    <w:rsid w:val="34062938"/>
    <w:rsid w:val="3406322D"/>
    <w:rsid w:val="34071BE1"/>
    <w:rsid w:val="34077BB4"/>
    <w:rsid w:val="340825DB"/>
    <w:rsid w:val="340A4D6F"/>
    <w:rsid w:val="340B55F6"/>
    <w:rsid w:val="340F497E"/>
    <w:rsid w:val="340F7F46"/>
    <w:rsid w:val="341019AB"/>
    <w:rsid w:val="341477C9"/>
    <w:rsid w:val="341545B6"/>
    <w:rsid w:val="341B0B7C"/>
    <w:rsid w:val="341E2796"/>
    <w:rsid w:val="341F5CD4"/>
    <w:rsid w:val="341F7ECB"/>
    <w:rsid w:val="342037A8"/>
    <w:rsid w:val="34225846"/>
    <w:rsid w:val="34237396"/>
    <w:rsid w:val="342479A1"/>
    <w:rsid w:val="34285241"/>
    <w:rsid w:val="34287F07"/>
    <w:rsid w:val="342C6583"/>
    <w:rsid w:val="342F27FF"/>
    <w:rsid w:val="342F5652"/>
    <w:rsid w:val="3431021B"/>
    <w:rsid w:val="34315A5B"/>
    <w:rsid w:val="34370213"/>
    <w:rsid w:val="34371171"/>
    <w:rsid w:val="343F2DA8"/>
    <w:rsid w:val="344000EF"/>
    <w:rsid w:val="344355E3"/>
    <w:rsid w:val="344A39D2"/>
    <w:rsid w:val="344C0C10"/>
    <w:rsid w:val="344C7576"/>
    <w:rsid w:val="344F4621"/>
    <w:rsid w:val="344F4EB2"/>
    <w:rsid w:val="344F6594"/>
    <w:rsid w:val="34515545"/>
    <w:rsid w:val="345307DA"/>
    <w:rsid w:val="34542128"/>
    <w:rsid w:val="345519D8"/>
    <w:rsid w:val="34552CB4"/>
    <w:rsid w:val="34553FB7"/>
    <w:rsid w:val="34574890"/>
    <w:rsid w:val="345E1E1B"/>
    <w:rsid w:val="345F4DA3"/>
    <w:rsid w:val="34602925"/>
    <w:rsid w:val="346106D8"/>
    <w:rsid w:val="346508B6"/>
    <w:rsid w:val="3466018C"/>
    <w:rsid w:val="3466750D"/>
    <w:rsid w:val="34684422"/>
    <w:rsid w:val="34686525"/>
    <w:rsid w:val="34687289"/>
    <w:rsid w:val="346C3507"/>
    <w:rsid w:val="346E668B"/>
    <w:rsid w:val="346E6A84"/>
    <w:rsid w:val="34700301"/>
    <w:rsid w:val="34706A59"/>
    <w:rsid w:val="34710B3A"/>
    <w:rsid w:val="347237E8"/>
    <w:rsid w:val="347859E5"/>
    <w:rsid w:val="347A015D"/>
    <w:rsid w:val="347B6821"/>
    <w:rsid w:val="347D6255"/>
    <w:rsid w:val="347F3076"/>
    <w:rsid w:val="3482464C"/>
    <w:rsid w:val="34855D49"/>
    <w:rsid w:val="3489526B"/>
    <w:rsid w:val="348A76A4"/>
    <w:rsid w:val="34906A5F"/>
    <w:rsid w:val="3491249C"/>
    <w:rsid w:val="349158C5"/>
    <w:rsid w:val="349173DF"/>
    <w:rsid w:val="34936C85"/>
    <w:rsid w:val="349749CB"/>
    <w:rsid w:val="34982B39"/>
    <w:rsid w:val="349A5638"/>
    <w:rsid w:val="349E27A8"/>
    <w:rsid w:val="349E5E50"/>
    <w:rsid w:val="349F5EE1"/>
    <w:rsid w:val="34A12719"/>
    <w:rsid w:val="34A131C7"/>
    <w:rsid w:val="34A22364"/>
    <w:rsid w:val="34A24C4A"/>
    <w:rsid w:val="34A4384C"/>
    <w:rsid w:val="34A52980"/>
    <w:rsid w:val="34A97819"/>
    <w:rsid w:val="34AE29C4"/>
    <w:rsid w:val="34AF0AB9"/>
    <w:rsid w:val="34AF46C6"/>
    <w:rsid w:val="34B16814"/>
    <w:rsid w:val="34B45413"/>
    <w:rsid w:val="34B646AA"/>
    <w:rsid w:val="34B64F36"/>
    <w:rsid w:val="34B6689F"/>
    <w:rsid w:val="34B82CDB"/>
    <w:rsid w:val="34B85F84"/>
    <w:rsid w:val="34BC51E1"/>
    <w:rsid w:val="34BC6619"/>
    <w:rsid w:val="34C122D1"/>
    <w:rsid w:val="34C708CD"/>
    <w:rsid w:val="34CB2246"/>
    <w:rsid w:val="34CE6BFF"/>
    <w:rsid w:val="34CF3E62"/>
    <w:rsid w:val="34D11813"/>
    <w:rsid w:val="34D1316C"/>
    <w:rsid w:val="34D2209F"/>
    <w:rsid w:val="34D332EC"/>
    <w:rsid w:val="34D44779"/>
    <w:rsid w:val="34D47E37"/>
    <w:rsid w:val="34DA6CEA"/>
    <w:rsid w:val="34DF1692"/>
    <w:rsid w:val="34EB1C80"/>
    <w:rsid w:val="34EE3DAE"/>
    <w:rsid w:val="34EF5CD3"/>
    <w:rsid w:val="34F0376A"/>
    <w:rsid w:val="34F90FE4"/>
    <w:rsid w:val="34FB1369"/>
    <w:rsid w:val="34FB3334"/>
    <w:rsid w:val="34FC1044"/>
    <w:rsid w:val="34FE3D6D"/>
    <w:rsid w:val="34FE4AC2"/>
    <w:rsid w:val="350062C5"/>
    <w:rsid w:val="350830CB"/>
    <w:rsid w:val="35084F84"/>
    <w:rsid w:val="350D4537"/>
    <w:rsid w:val="350E4F97"/>
    <w:rsid w:val="350E7C05"/>
    <w:rsid w:val="35110CCD"/>
    <w:rsid w:val="35125B3F"/>
    <w:rsid w:val="351460EA"/>
    <w:rsid w:val="351A516F"/>
    <w:rsid w:val="351F2AE4"/>
    <w:rsid w:val="35243CA0"/>
    <w:rsid w:val="3525009D"/>
    <w:rsid w:val="35280B28"/>
    <w:rsid w:val="352A0C3D"/>
    <w:rsid w:val="352D256D"/>
    <w:rsid w:val="352F33D4"/>
    <w:rsid w:val="3531463D"/>
    <w:rsid w:val="35333B88"/>
    <w:rsid w:val="3535533B"/>
    <w:rsid w:val="353876A8"/>
    <w:rsid w:val="35392951"/>
    <w:rsid w:val="35395470"/>
    <w:rsid w:val="353C3CEB"/>
    <w:rsid w:val="35443B4E"/>
    <w:rsid w:val="3548320E"/>
    <w:rsid w:val="35494503"/>
    <w:rsid w:val="35496C12"/>
    <w:rsid w:val="354A1461"/>
    <w:rsid w:val="355075BE"/>
    <w:rsid w:val="35516045"/>
    <w:rsid w:val="35552FDE"/>
    <w:rsid w:val="35563A54"/>
    <w:rsid w:val="35592EC7"/>
    <w:rsid w:val="355B12E8"/>
    <w:rsid w:val="355B54AD"/>
    <w:rsid w:val="355C2CBE"/>
    <w:rsid w:val="35602930"/>
    <w:rsid w:val="35613689"/>
    <w:rsid w:val="35630616"/>
    <w:rsid w:val="356A3D98"/>
    <w:rsid w:val="356B08B0"/>
    <w:rsid w:val="356B3330"/>
    <w:rsid w:val="356D6555"/>
    <w:rsid w:val="356E025D"/>
    <w:rsid w:val="35712A27"/>
    <w:rsid w:val="35717C5A"/>
    <w:rsid w:val="35731B99"/>
    <w:rsid w:val="35795855"/>
    <w:rsid w:val="357A1007"/>
    <w:rsid w:val="357D1C69"/>
    <w:rsid w:val="3582250D"/>
    <w:rsid w:val="35930F8C"/>
    <w:rsid w:val="3594151C"/>
    <w:rsid w:val="359636F0"/>
    <w:rsid w:val="359660FF"/>
    <w:rsid w:val="359A10F7"/>
    <w:rsid w:val="359E4803"/>
    <w:rsid w:val="35A0703B"/>
    <w:rsid w:val="35A20914"/>
    <w:rsid w:val="35A430B5"/>
    <w:rsid w:val="35A74677"/>
    <w:rsid w:val="35A84E97"/>
    <w:rsid w:val="35AA2CAA"/>
    <w:rsid w:val="35AB1B37"/>
    <w:rsid w:val="35B26D57"/>
    <w:rsid w:val="35B45CDB"/>
    <w:rsid w:val="35B509CC"/>
    <w:rsid w:val="35B7049D"/>
    <w:rsid w:val="35B83AAE"/>
    <w:rsid w:val="35B96289"/>
    <w:rsid w:val="35BA39AD"/>
    <w:rsid w:val="35BC36DC"/>
    <w:rsid w:val="35BE25A1"/>
    <w:rsid w:val="35C03F6A"/>
    <w:rsid w:val="35C075E2"/>
    <w:rsid w:val="35C2612A"/>
    <w:rsid w:val="35CA6F39"/>
    <w:rsid w:val="35CC38F8"/>
    <w:rsid w:val="35CD7759"/>
    <w:rsid w:val="35CD77F3"/>
    <w:rsid w:val="35CF6C77"/>
    <w:rsid w:val="35D11321"/>
    <w:rsid w:val="35D14951"/>
    <w:rsid w:val="35D87849"/>
    <w:rsid w:val="35DC509F"/>
    <w:rsid w:val="35DD5C32"/>
    <w:rsid w:val="35E12593"/>
    <w:rsid w:val="35E2189A"/>
    <w:rsid w:val="35E6090D"/>
    <w:rsid w:val="35E6453A"/>
    <w:rsid w:val="35E67A35"/>
    <w:rsid w:val="35E96C61"/>
    <w:rsid w:val="35EC5D77"/>
    <w:rsid w:val="35ED79E3"/>
    <w:rsid w:val="35EE6943"/>
    <w:rsid w:val="35F20C6B"/>
    <w:rsid w:val="35F37AFB"/>
    <w:rsid w:val="35F65AB8"/>
    <w:rsid w:val="35F9010A"/>
    <w:rsid w:val="35F92E9A"/>
    <w:rsid w:val="3601650E"/>
    <w:rsid w:val="360248A0"/>
    <w:rsid w:val="360622C6"/>
    <w:rsid w:val="360705D6"/>
    <w:rsid w:val="36073336"/>
    <w:rsid w:val="36087035"/>
    <w:rsid w:val="360C32A4"/>
    <w:rsid w:val="360F4AB9"/>
    <w:rsid w:val="36110E00"/>
    <w:rsid w:val="36120655"/>
    <w:rsid w:val="3613426C"/>
    <w:rsid w:val="361445CB"/>
    <w:rsid w:val="36171A98"/>
    <w:rsid w:val="361804F8"/>
    <w:rsid w:val="3618245C"/>
    <w:rsid w:val="361A1EC3"/>
    <w:rsid w:val="362259B7"/>
    <w:rsid w:val="36290FF8"/>
    <w:rsid w:val="362A01AE"/>
    <w:rsid w:val="362A6C4C"/>
    <w:rsid w:val="362D7B42"/>
    <w:rsid w:val="362E74F8"/>
    <w:rsid w:val="362F53D7"/>
    <w:rsid w:val="36302469"/>
    <w:rsid w:val="363512C6"/>
    <w:rsid w:val="363D52CC"/>
    <w:rsid w:val="363F01E5"/>
    <w:rsid w:val="36403E00"/>
    <w:rsid w:val="3642244B"/>
    <w:rsid w:val="36422C53"/>
    <w:rsid w:val="36426776"/>
    <w:rsid w:val="36427FF1"/>
    <w:rsid w:val="36436C94"/>
    <w:rsid w:val="36440A10"/>
    <w:rsid w:val="36461088"/>
    <w:rsid w:val="36481B99"/>
    <w:rsid w:val="364C6386"/>
    <w:rsid w:val="364D63B0"/>
    <w:rsid w:val="365133B2"/>
    <w:rsid w:val="365226B0"/>
    <w:rsid w:val="365568A7"/>
    <w:rsid w:val="365A2E7E"/>
    <w:rsid w:val="365C2427"/>
    <w:rsid w:val="365E55A8"/>
    <w:rsid w:val="3661722B"/>
    <w:rsid w:val="36623621"/>
    <w:rsid w:val="366263D1"/>
    <w:rsid w:val="36636C44"/>
    <w:rsid w:val="36673E97"/>
    <w:rsid w:val="366B3F2E"/>
    <w:rsid w:val="366D7808"/>
    <w:rsid w:val="36704506"/>
    <w:rsid w:val="36704FAA"/>
    <w:rsid w:val="367401D6"/>
    <w:rsid w:val="36741E0D"/>
    <w:rsid w:val="367706D6"/>
    <w:rsid w:val="367B1C38"/>
    <w:rsid w:val="367D4156"/>
    <w:rsid w:val="36827B6C"/>
    <w:rsid w:val="36842B21"/>
    <w:rsid w:val="36856F76"/>
    <w:rsid w:val="368B106B"/>
    <w:rsid w:val="368C607E"/>
    <w:rsid w:val="368E4909"/>
    <w:rsid w:val="368E717F"/>
    <w:rsid w:val="368F3394"/>
    <w:rsid w:val="3690363E"/>
    <w:rsid w:val="3692542C"/>
    <w:rsid w:val="369374D0"/>
    <w:rsid w:val="369423F9"/>
    <w:rsid w:val="36961ACA"/>
    <w:rsid w:val="3697270A"/>
    <w:rsid w:val="3698179C"/>
    <w:rsid w:val="36986466"/>
    <w:rsid w:val="36990790"/>
    <w:rsid w:val="369A3EC0"/>
    <w:rsid w:val="369A54B2"/>
    <w:rsid w:val="369D6477"/>
    <w:rsid w:val="369E408F"/>
    <w:rsid w:val="36A04BCC"/>
    <w:rsid w:val="36A574F5"/>
    <w:rsid w:val="36A97FD1"/>
    <w:rsid w:val="36AE31AC"/>
    <w:rsid w:val="36B026D9"/>
    <w:rsid w:val="36B16C96"/>
    <w:rsid w:val="36B42ECB"/>
    <w:rsid w:val="36B46B2D"/>
    <w:rsid w:val="36B524FB"/>
    <w:rsid w:val="36B76012"/>
    <w:rsid w:val="36BC507F"/>
    <w:rsid w:val="36BC6A19"/>
    <w:rsid w:val="36BD1836"/>
    <w:rsid w:val="36BF4790"/>
    <w:rsid w:val="36C04FBC"/>
    <w:rsid w:val="36C22D6B"/>
    <w:rsid w:val="36C4279C"/>
    <w:rsid w:val="36C521B0"/>
    <w:rsid w:val="36C70387"/>
    <w:rsid w:val="36C7660A"/>
    <w:rsid w:val="36C76646"/>
    <w:rsid w:val="36C8075D"/>
    <w:rsid w:val="36C9227B"/>
    <w:rsid w:val="36CD2001"/>
    <w:rsid w:val="36CD7615"/>
    <w:rsid w:val="36D46323"/>
    <w:rsid w:val="36D754AF"/>
    <w:rsid w:val="36D87EAC"/>
    <w:rsid w:val="36DF25E8"/>
    <w:rsid w:val="36E33AEA"/>
    <w:rsid w:val="36E35AF8"/>
    <w:rsid w:val="36E447A7"/>
    <w:rsid w:val="36E5173D"/>
    <w:rsid w:val="36E77682"/>
    <w:rsid w:val="36E925E6"/>
    <w:rsid w:val="36E954AA"/>
    <w:rsid w:val="36EA5B63"/>
    <w:rsid w:val="36EE0EA6"/>
    <w:rsid w:val="36EF2CBB"/>
    <w:rsid w:val="36F31AA3"/>
    <w:rsid w:val="36F4159D"/>
    <w:rsid w:val="36FC484F"/>
    <w:rsid w:val="36FC4FD6"/>
    <w:rsid w:val="37006680"/>
    <w:rsid w:val="37013370"/>
    <w:rsid w:val="370208CC"/>
    <w:rsid w:val="37026514"/>
    <w:rsid w:val="37037C9B"/>
    <w:rsid w:val="37095445"/>
    <w:rsid w:val="370A6A48"/>
    <w:rsid w:val="370B5F58"/>
    <w:rsid w:val="370C465E"/>
    <w:rsid w:val="370C509F"/>
    <w:rsid w:val="370D6BA8"/>
    <w:rsid w:val="37131A0E"/>
    <w:rsid w:val="371765AE"/>
    <w:rsid w:val="37196527"/>
    <w:rsid w:val="37200DD4"/>
    <w:rsid w:val="37204346"/>
    <w:rsid w:val="372116F8"/>
    <w:rsid w:val="37212160"/>
    <w:rsid w:val="37215067"/>
    <w:rsid w:val="37226F3D"/>
    <w:rsid w:val="37227765"/>
    <w:rsid w:val="372C1F6F"/>
    <w:rsid w:val="372E448D"/>
    <w:rsid w:val="372E521A"/>
    <w:rsid w:val="37327583"/>
    <w:rsid w:val="3733047C"/>
    <w:rsid w:val="3733461E"/>
    <w:rsid w:val="37336F03"/>
    <w:rsid w:val="373430A7"/>
    <w:rsid w:val="373720D0"/>
    <w:rsid w:val="37374E90"/>
    <w:rsid w:val="37376697"/>
    <w:rsid w:val="373842EC"/>
    <w:rsid w:val="37384D86"/>
    <w:rsid w:val="373F68F5"/>
    <w:rsid w:val="373F6EEE"/>
    <w:rsid w:val="37411C04"/>
    <w:rsid w:val="374144B0"/>
    <w:rsid w:val="374464DD"/>
    <w:rsid w:val="374754AF"/>
    <w:rsid w:val="37513B84"/>
    <w:rsid w:val="3754613C"/>
    <w:rsid w:val="37550B11"/>
    <w:rsid w:val="37575435"/>
    <w:rsid w:val="37593A3A"/>
    <w:rsid w:val="37595CD9"/>
    <w:rsid w:val="375B42F7"/>
    <w:rsid w:val="375E3C08"/>
    <w:rsid w:val="375F4516"/>
    <w:rsid w:val="376178FF"/>
    <w:rsid w:val="37637AFA"/>
    <w:rsid w:val="3764491F"/>
    <w:rsid w:val="37651273"/>
    <w:rsid w:val="37651A40"/>
    <w:rsid w:val="376D44F4"/>
    <w:rsid w:val="376E1A69"/>
    <w:rsid w:val="3772070F"/>
    <w:rsid w:val="37727A85"/>
    <w:rsid w:val="377339FF"/>
    <w:rsid w:val="37763AF2"/>
    <w:rsid w:val="37773F4B"/>
    <w:rsid w:val="377D0237"/>
    <w:rsid w:val="377D52DB"/>
    <w:rsid w:val="377E46B8"/>
    <w:rsid w:val="378060F6"/>
    <w:rsid w:val="37817134"/>
    <w:rsid w:val="3783756F"/>
    <w:rsid w:val="37842186"/>
    <w:rsid w:val="37842509"/>
    <w:rsid w:val="378568EB"/>
    <w:rsid w:val="37860CD9"/>
    <w:rsid w:val="37866D3B"/>
    <w:rsid w:val="37897E23"/>
    <w:rsid w:val="378B1F1C"/>
    <w:rsid w:val="378B4B19"/>
    <w:rsid w:val="378D023C"/>
    <w:rsid w:val="379171BB"/>
    <w:rsid w:val="37951B1C"/>
    <w:rsid w:val="379E74C3"/>
    <w:rsid w:val="37A33420"/>
    <w:rsid w:val="37A96739"/>
    <w:rsid w:val="37AB7F8E"/>
    <w:rsid w:val="37AC7825"/>
    <w:rsid w:val="37AE6544"/>
    <w:rsid w:val="37B0650B"/>
    <w:rsid w:val="37B25D81"/>
    <w:rsid w:val="37B3216B"/>
    <w:rsid w:val="37B45926"/>
    <w:rsid w:val="37B700AF"/>
    <w:rsid w:val="37B8333E"/>
    <w:rsid w:val="37B85370"/>
    <w:rsid w:val="37BB5A2A"/>
    <w:rsid w:val="37BE7B5B"/>
    <w:rsid w:val="37C7388F"/>
    <w:rsid w:val="37C803F0"/>
    <w:rsid w:val="37C833D7"/>
    <w:rsid w:val="37CA4280"/>
    <w:rsid w:val="37CF5900"/>
    <w:rsid w:val="37D0067F"/>
    <w:rsid w:val="37D02123"/>
    <w:rsid w:val="37D061B9"/>
    <w:rsid w:val="37D45F15"/>
    <w:rsid w:val="37D53F97"/>
    <w:rsid w:val="37D973C7"/>
    <w:rsid w:val="37DA0FB6"/>
    <w:rsid w:val="37DB2077"/>
    <w:rsid w:val="37DC18CB"/>
    <w:rsid w:val="37DE0961"/>
    <w:rsid w:val="37DE0DC9"/>
    <w:rsid w:val="37DE30D8"/>
    <w:rsid w:val="37DE442D"/>
    <w:rsid w:val="37DE7DCC"/>
    <w:rsid w:val="37E02F33"/>
    <w:rsid w:val="37E15C38"/>
    <w:rsid w:val="37E331F0"/>
    <w:rsid w:val="37E41857"/>
    <w:rsid w:val="37E76543"/>
    <w:rsid w:val="37E93F2C"/>
    <w:rsid w:val="37EA06A3"/>
    <w:rsid w:val="37EC274F"/>
    <w:rsid w:val="37ED0C53"/>
    <w:rsid w:val="37EF5E30"/>
    <w:rsid w:val="37F122B5"/>
    <w:rsid w:val="37F278EC"/>
    <w:rsid w:val="37F616AA"/>
    <w:rsid w:val="37F70EAE"/>
    <w:rsid w:val="37FC3AD0"/>
    <w:rsid w:val="380353FB"/>
    <w:rsid w:val="380622A3"/>
    <w:rsid w:val="38093750"/>
    <w:rsid w:val="380A31D8"/>
    <w:rsid w:val="380D5D51"/>
    <w:rsid w:val="380E2EF0"/>
    <w:rsid w:val="380F1854"/>
    <w:rsid w:val="380F480D"/>
    <w:rsid w:val="380F6335"/>
    <w:rsid w:val="381144C9"/>
    <w:rsid w:val="381228B5"/>
    <w:rsid w:val="38136AE3"/>
    <w:rsid w:val="381529E7"/>
    <w:rsid w:val="38177154"/>
    <w:rsid w:val="381C74D4"/>
    <w:rsid w:val="381D4726"/>
    <w:rsid w:val="38246A69"/>
    <w:rsid w:val="382B420C"/>
    <w:rsid w:val="382D699E"/>
    <w:rsid w:val="382F0DF0"/>
    <w:rsid w:val="38302898"/>
    <w:rsid w:val="38302DDF"/>
    <w:rsid w:val="38312E6F"/>
    <w:rsid w:val="38322E1B"/>
    <w:rsid w:val="38330B0E"/>
    <w:rsid w:val="383A48A7"/>
    <w:rsid w:val="383B33E3"/>
    <w:rsid w:val="383C4ED1"/>
    <w:rsid w:val="38435B66"/>
    <w:rsid w:val="384433B6"/>
    <w:rsid w:val="384B7C26"/>
    <w:rsid w:val="384C34D5"/>
    <w:rsid w:val="384F6E4D"/>
    <w:rsid w:val="38535B02"/>
    <w:rsid w:val="38562A30"/>
    <w:rsid w:val="385908E1"/>
    <w:rsid w:val="385963EF"/>
    <w:rsid w:val="385B28A1"/>
    <w:rsid w:val="385E2C6E"/>
    <w:rsid w:val="38646117"/>
    <w:rsid w:val="386602AB"/>
    <w:rsid w:val="38691CF9"/>
    <w:rsid w:val="386A5394"/>
    <w:rsid w:val="386A73F2"/>
    <w:rsid w:val="386B444F"/>
    <w:rsid w:val="386D1B83"/>
    <w:rsid w:val="386E1878"/>
    <w:rsid w:val="38702ABF"/>
    <w:rsid w:val="38717274"/>
    <w:rsid w:val="387374B9"/>
    <w:rsid w:val="387748E9"/>
    <w:rsid w:val="38784F09"/>
    <w:rsid w:val="38790398"/>
    <w:rsid w:val="387D1C91"/>
    <w:rsid w:val="38812879"/>
    <w:rsid w:val="38835954"/>
    <w:rsid w:val="388540E1"/>
    <w:rsid w:val="388B74B1"/>
    <w:rsid w:val="388D6B4C"/>
    <w:rsid w:val="3892556A"/>
    <w:rsid w:val="38950440"/>
    <w:rsid w:val="389726DD"/>
    <w:rsid w:val="38982132"/>
    <w:rsid w:val="389847D7"/>
    <w:rsid w:val="389C12CC"/>
    <w:rsid w:val="389E7878"/>
    <w:rsid w:val="389E7D57"/>
    <w:rsid w:val="389F39EC"/>
    <w:rsid w:val="38A13F11"/>
    <w:rsid w:val="38A22A19"/>
    <w:rsid w:val="38A31AC1"/>
    <w:rsid w:val="38A42DDF"/>
    <w:rsid w:val="38A533DC"/>
    <w:rsid w:val="38A55CBC"/>
    <w:rsid w:val="38A726F4"/>
    <w:rsid w:val="38AB44CB"/>
    <w:rsid w:val="38AB6350"/>
    <w:rsid w:val="38AD17C3"/>
    <w:rsid w:val="38AE384A"/>
    <w:rsid w:val="38B31EC5"/>
    <w:rsid w:val="38C43115"/>
    <w:rsid w:val="38C63DFF"/>
    <w:rsid w:val="38C77986"/>
    <w:rsid w:val="38C80C0C"/>
    <w:rsid w:val="38CA0273"/>
    <w:rsid w:val="38CC637D"/>
    <w:rsid w:val="38CD4DBF"/>
    <w:rsid w:val="38D03D2F"/>
    <w:rsid w:val="38D26A90"/>
    <w:rsid w:val="38D60832"/>
    <w:rsid w:val="38D8271D"/>
    <w:rsid w:val="38DA59A3"/>
    <w:rsid w:val="38DB5AEC"/>
    <w:rsid w:val="38DC2EE6"/>
    <w:rsid w:val="38DE0937"/>
    <w:rsid w:val="38DE7864"/>
    <w:rsid w:val="38DF0739"/>
    <w:rsid w:val="38E106A9"/>
    <w:rsid w:val="38E27CA3"/>
    <w:rsid w:val="38E30C77"/>
    <w:rsid w:val="38E4371E"/>
    <w:rsid w:val="38E44FB1"/>
    <w:rsid w:val="38E806C8"/>
    <w:rsid w:val="38ED0F0C"/>
    <w:rsid w:val="38EE0086"/>
    <w:rsid w:val="38EF55B9"/>
    <w:rsid w:val="38F126C9"/>
    <w:rsid w:val="38F17231"/>
    <w:rsid w:val="38F21F3A"/>
    <w:rsid w:val="38F318B1"/>
    <w:rsid w:val="38F5185D"/>
    <w:rsid w:val="38F566D2"/>
    <w:rsid w:val="38F7286D"/>
    <w:rsid w:val="38F84B21"/>
    <w:rsid w:val="38F953A4"/>
    <w:rsid w:val="38FB168E"/>
    <w:rsid w:val="38FB19F2"/>
    <w:rsid w:val="38FC775A"/>
    <w:rsid w:val="390172EB"/>
    <w:rsid w:val="39021FB1"/>
    <w:rsid w:val="39037443"/>
    <w:rsid w:val="390623BA"/>
    <w:rsid w:val="39063940"/>
    <w:rsid w:val="390727E6"/>
    <w:rsid w:val="39082ABB"/>
    <w:rsid w:val="3909016F"/>
    <w:rsid w:val="390A04FD"/>
    <w:rsid w:val="390A09F3"/>
    <w:rsid w:val="390A55B6"/>
    <w:rsid w:val="390C470B"/>
    <w:rsid w:val="390D4A90"/>
    <w:rsid w:val="390D6ADD"/>
    <w:rsid w:val="390D772F"/>
    <w:rsid w:val="390F29E2"/>
    <w:rsid w:val="39133609"/>
    <w:rsid w:val="39136E27"/>
    <w:rsid w:val="3914369D"/>
    <w:rsid w:val="391F473A"/>
    <w:rsid w:val="39231CF3"/>
    <w:rsid w:val="39234928"/>
    <w:rsid w:val="392469F9"/>
    <w:rsid w:val="392662A5"/>
    <w:rsid w:val="392674EE"/>
    <w:rsid w:val="3928195C"/>
    <w:rsid w:val="39284DCF"/>
    <w:rsid w:val="39295DE4"/>
    <w:rsid w:val="392C1C44"/>
    <w:rsid w:val="392E1F9A"/>
    <w:rsid w:val="392F1B1D"/>
    <w:rsid w:val="39322814"/>
    <w:rsid w:val="39327DD5"/>
    <w:rsid w:val="393514CE"/>
    <w:rsid w:val="39353AC9"/>
    <w:rsid w:val="39367EC1"/>
    <w:rsid w:val="39373549"/>
    <w:rsid w:val="39396D28"/>
    <w:rsid w:val="393C1CC5"/>
    <w:rsid w:val="393C573E"/>
    <w:rsid w:val="393C5AF4"/>
    <w:rsid w:val="393D6472"/>
    <w:rsid w:val="393E5A7B"/>
    <w:rsid w:val="394017BE"/>
    <w:rsid w:val="3941452F"/>
    <w:rsid w:val="39417D0E"/>
    <w:rsid w:val="39425631"/>
    <w:rsid w:val="39452B5C"/>
    <w:rsid w:val="39466EC5"/>
    <w:rsid w:val="394D03DB"/>
    <w:rsid w:val="394D1AB8"/>
    <w:rsid w:val="394E0E69"/>
    <w:rsid w:val="394F5892"/>
    <w:rsid w:val="39572C49"/>
    <w:rsid w:val="395A72BE"/>
    <w:rsid w:val="395C35A8"/>
    <w:rsid w:val="395D7FA2"/>
    <w:rsid w:val="39603F1E"/>
    <w:rsid w:val="396466FF"/>
    <w:rsid w:val="3966252A"/>
    <w:rsid w:val="3968556A"/>
    <w:rsid w:val="396878F6"/>
    <w:rsid w:val="39692472"/>
    <w:rsid w:val="396C02CB"/>
    <w:rsid w:val="397727A0"/>
    <w:rsid w:val="39772F95"/>
    <w:rsid w:val="397733BF"/>
    <w:rsid w:val="39777261"/>
    <w:rsid w:val="397815F9"/>
    <w:rsid w:val="39787CB4"/>
    <w:rsid w:val="397C4374"/>
    <w:rsid w:val="3984615F"/>
    <w:rsid w:val="39850338"/>
    <w:rsid w:val="398617F9"/>
    <w:rsid w:val="39864E57"/>
    <w:rsid w:val="3988131F"/>
    <w:rsid w:val="39886DD6"/>
    <w:rsid w:val="39891BE3"/>
    <w:rsid w:val="398B4387"/>
    <w:rsid w:val="398F64F3"/>
    <w:rsid w:val="39931269"/>
    <w:rsid w:val="39942E2B"/>
    <w:rsid w:val="39963505"/>
    <w:rsid w:val="399A0735"/>
    <w:rsid w:val="399D2E7D"/>
    <w:rsid w:val="399F729C"/>
    <w:rsid w:val="39A16283"/>
    <w:rsid w:val="39A36697"/>
    <w:rsid w:val="39A859AD"/>
    <w:rsid w:val="39A936AF"/>
    <w:rsid w:val="39A9545B"/>
    <w:rsid w:val="39AB1DCC"/>
    <w:rsid w:val="39AB745F"/>
    <w:rsid w:val="39AD1616"/>
    <w:rsid w:val="39B138E3"/>
    <w:rsid w:val="39B166CF"/>
    <w:rsid w:val="39B50089"/>
    <w:rsid w:val="39B96838"/>
    <w:rsid w:val="39BE01BE"/>
    <w:rsid w:val="39BE5647"/>
    <w:rsid w:val="39BF0816"/>
    <w:rsid w:val="39C40E06"/>
    <w:rsid w:val="39C4333D"/>
    <w:rsid w:val="39C44DB6"/>
    <w:rsid w:val="39C51327"/>
    <w:rsid w:val="39C665E5"/>
    <w:rsid w:val="39C7147C"/>
    <w:rsid w:val="39C95300"/>
    <w:rsid w:val="39CD44BC"/>
    <w:rsid w:val="39CE2554"/>
    <w:rsid w:val="39D82DBF"/>
    <w:rsid w:val="39DF1914"/>
    <w:rsid w:val="39E4368A"/>
    <w:rsid w:val="39E61852"/>
    <w:rsid w:val="39E97BA8"/>
    <w:rsid w:val="39EB3608"/>
    <w:rsid w:val="39ED21F9"/>
    <w:rsid w:val="39EE550D"/>
    <w:rsid w:val="39F04536"/>
    <w:rsid w:val="39F416C9"/>
    <w:rsid w:val="39F448D3"/>
    <w:rsid w:val="39F60CBD"/>
    <w:rsid w:val="39FC2E3A"/>
    <w:rsid w:val="39FC7120"/>
    <w:rsid w:val="39FD427D"/>
    <w:rsid w:val="39FF3A0F"/>
    <w:rsid w:val="3A021569"/>
    <w:rsid w:val="3A025E37"/>
    <w:rsid w:val="3A0355C2"/>
    <w:rsid w:val="3A042E40"/>
    <w:rsid w:val="3A0602A1"/>
    <w:rsid w:val="3A0826F7"/>
    <w:rsid w:val="3A097F4E"/>
    <w:rsid w:val="3A0F0881"/>
    <w:rsid w:val="3A0F3272"/>
    <w:rsid w:val="3A1053C4"/>
    <w:rsid w:val="3A115DEE"/>
    <w:rsid w:val="3A13493C"/>
    <w:rsid w:val="3A147446"/>
    <w:rsid w:val="3A172436"/>
    <w:rsid w:val="3A187814"/>
    <w:rsid w:val="3A1C4591"/>
    <w:rsid w:val="3A1F60A5"/>
    <w:rsid w:val="3A204678"/>
    <w:rsid w:val="3A20659C"/>
    <w:rsid w:val="3A2077A6"/>
    <w:rsid w:val="3A250479"/>
    <w:rsid w:val="3A2746DB"/>
    <w:rsid w:val="3A2824A2"/>
    <w:rsid w:val="3A28448B"/>
    <w:rsid w:val="3A292EFB"/>
    <w:rsid w:val="3A2A3B91"/>
    <w:rsid w:val="3A2E12F7"/>
    <w:rsid w:val="3A30764E"/>
    <w:rsid w:val="3A31552E"/>
    <w:rsid w:val="3A315878"/>
    <w:rsid w:val="3A32181D"/>
    <w:rsid w:val="3A386153"/>
    <w:rsid w:val="3A3A3046"/>
    <w:rsid w:val="3A3D57E9"/>
    <w:rsid w:val="3A3F2D54"/>
    <w:rsid w:val="3A3F4F13"/>
    <w:rsid w:val="3A3F6EEA"/>
    <w:rsid w:val="3A437B91"/>
    <w:rsid w:val="3A4F2608"/>
    <w:rsid w:val="3A4F49B5"/>
    <w:rsid w:val="3A4F6B1B"/>
    <w:rsid w:val="3A513BF0"/>
    <w:rsid w:val="3A517F9E"/>
    <w:rsid w:val="3A521AC8"/>
    <w:rsid w:val="3A5304AF"/>
    <w:rsid w:val="3A535B0A"/>
    <w:rsid w:val="3A540AEA"/>
    <w:rsid w:val="3A591CB4"/>
    <w:rsid w:val="3A6147B2"/>
    <w:rsid w:val="3A626552"/>
    <w:rsid w:val="3A630A5D"/>
    <w:rsid w:val="3A6325E0"/>
    <w:rsid w:val="3A642C9B"/>
    <w:rsid w:val="3A691261"/>
    <w:rsid w:val="3A692C75"/>
    <w:rsid w:val="3A6A0E91"/>
    <w:rsid w:val="3A6E5ABC"/>
    <w:rsid w:val="3A700C5F"/>
    <w:rsid w:val="3A701678"/>
    <w:rsid w:val="3A71109F"/>
    <w:rsid w:val="3A7114C7"/>
    <w:rsid w:val="3A747F20"/>
    <w:rsid w:val="3A781272"/>
    <w:rsid w:val="3A7A7286"/>
    <w:rsid w:val="3A7B4374"/>
    <w:rsid w:val="3A7B61FF"/>
    <w:rsid w:val="3A7E1883"/>
    <w:rsid w:val="3A833C23"/>
    <w:rsid w:val="3A8375BA"/>
    <w:rsid w:val="3A895083"/>
    <w:rsid w:val="3A8C1898"/>
    <w:rsid w:val="3A8F530D"/>
    <w:rsid w:val="3A8F7530"/>
    <w:rsid w:val="3A9067B2"/>
    <w:rsid w:val="3A9474DE"/>
    <w:rsid w:val="3A96183E"/>
    <w:rsid w:val="3A98680B"/>
    <w:rsid w:val="3A990CB0"/>
    <w:rsid w:val="3A996DA8"/>
    <w:rsid w:val="3A9D2720"/>
    <w:rsid w:val="3A9F0BD2"/>
    <w:rsid w:val="3A9F64B5"/>
    <w:rsid w:val="3AA50CD0"/>
    <w:rsid w:val="3AA70ED1"/>
    <w:rsid w:val="3AA863B0"/>
    <w:rsid w:val="3AAA33AE"/>
    <w:rsid w:val="3AAA6751"/>
    <w:rsid w:val="3AAC00EC"/>
    <w:rsid w:val="3AAF292B"/>
    <w:rsid w:val="3AB01FC5"/>
    <w:rsid w:val="3AB04A99"/>
    <w:rsid w:val="3AB10635"/>
    <w:rsid w:val="3AB51033"/>
    <w:rsid w:val="3AB562BD"/>
    <w:rsid w:val="3AB62B90"/>
    <w:rsid w:val="3AB66708"/>
    <w:rsid w:val="3AB935AD"/>
    <w:rsid w:val="3AB93630"/>
    <w:rsid w:val="3AB945C2"/>
    <w:rsid w:val="3AB9620B"/>
    <w:rsid w:val="3ABB0CA1"/>
    <w:rsid w:val="3ABE5E21"/>
    <w:rsid w:val="3ABF58E5"/>
    <w:rsid w:val="3AC10BFF"/>
    <w:rsid w:val="3AC31B76"/>
    <w:rsid w:val="3AC350EC"/>
    <w:rsid w:val="3AC46DE0"/>
    <w:rsid w:val="3ACB60C8"/>
    <w:rsid w:val="3ACB7F51"/>
    <w:rsid w:val="3ACD74A4"/>
    <w:rsid w:val="3ACF0183"/>
    <w:rsid w:val="3AD1797F"/>
    <w:rsid w:val="3AD34429"/>
    <w:rsid w:val="3AD4042C"/>
    <w:rsid w:val="3AD71AA0"/>
    <w:rsid w:val="3ADC3901"/>
    <w:rsid w:val="3ADD0922"/>
    <w:rsid w:val="3ADD1C4C"/>
    <w:rsid w:val="3ADE597F"/>
    <w:rsid w:val="3ADE7E1A"/>
    <w:rsid w:val="3ADF4898"/>
    <w:rsid w:val="3AE01AE1"/>
    <w:rsid w:val="3AE24DA7"/>
    <w:rsid w:val="3AE42ED0"/>
    <w:rsid w:val="3AE52CD4"/>
    <w:rsid w:val="3AE6696B"/>
    <w:rsid w:val="3AE87191"/>
    <w:rsid w:val="3AEB719F"/>
    <w:rsid w:val="3AF15831"/>
    <w:rsid w:val="3AF21057"/>
    <w:rsid w:val="3AF26135"/>
    <w:rsid w:val="3AF314A8"/>
    <w:rsid w:val="3AF53C47"/>
    <w:rsid w:val="3AF57FF1"/>
    <w:rsid w:val="3AF704E8"/>
    <w:rsid w:val="3AFE5425"/>
    <w:rsid w:val="3AFF27A6"/>
    <w:rsid w:val="3B026231"/>
    <w:rsid w:val="3B052C59"/>
    <w:rsid w:val="3B0C6217"/>
    <w:rsid w:val="3B0D4AEC"/>
    <w:rsid w:val="3B0D57C5"/>
    <w:rsid w:val="3B117C96"/>
    <w:rsid w:val="3B17292E"/>
    <w:rsid w:val="3B177A27"/>
    <w:rsid w:val="3B180AE8"/>
    <w:rsid w:val="3B191EB9"/>
    <w:rsid w:val="3B1A42A3"/>
    <w:rsid w:val="3B1A7AE0"/>
    <w:rsid w:val="3B1D2485"/>
    <w:rsid w:val="3B22528C"/>
    <w:rsid w:val="3B2335D5"/>
    <w:rsid w:val="3B235B33"/>
    <w:rsid w:val="3B290F2A"/>
    <w:rsid w:val="3B2954BB"/>
    <w:rsid w:val="3B2A07B2"/>
    <w:rsid w:val="3B31080C"/>
    <w:rsid w:val="3B312C39"/>
    <w:rsid w:val="3B335259"/>
    <w:rsid w:val="3B343339"/>
    <w:rsid w:val="3B383F48"/>
    <w:rsid w:val="3B3914A3"/>
    <w:rsid w:val="3B3A366D"/>
    <w:rsid w:val="3B3A660C"/>
    <w:rsid w:val="3B3D12DD"/>
    <w:rsid w:val="3B3D2799"/>
    <w:rsid w:val="3B3E5725"/>
    <w:rsid w:val="3B422613"/>
    <w:rsid w:val="3B481AA5"/>
    <w:rsid w:val="3B4A39C5"/>
    <w:rsid w:val="3B4C5BC1"/>
    <w:rsid w:val="3B4D2BDB"/>
    <w:rsid w:val="3B532934"/>
    <w:rsid w:val="3B556C04"/>
    <w:rsid w:val="3B593C26"/>
    <w:rsid w:val="3B5C2D81"/>
    <w:rsid w:val="3B5C464A"/>
    <w:rsid w:val="3B5D636B"/>
    <w:rsid w:val="3B616AAA"/>
    <w:rsid w:val="3B637515"/>
    <w:rsid w:val="3B6628D8"/>
    <w:rsid w:val="3B697740"/>
    <w:rsid w:val="3B6B7D99"/>
    <w:rsid w:val="3B6C0E6A"/>
    <w:rsid w:val="3B6C22B7"/>
    <w:rsid w:val="3B6C5473"/>
    <w:rsid w:val="3B6D126D"/>
    <w:rsid w:val="3B703D10"/>
    <w:rsid w:val="3B73472C"/>
    <w:rsid w:val="3B736405"/>
    <w:rsid w:val="3B74064B"/>
    <w:rsid w:val="3B7A3D15"/>
    <w:rsid w:val="3B7B2337"/>
    <w:rsid w:val="3B7C04FB"/>
    <w:rsid w:val="3B7D13A6"/>
    <w:rsid w:val="3B862F82"/>
    <w:rsid w:val="3B863B43"/>
    <w:rsid w:val="3B8678FF"/>
    <w:rsid w:val="3B8C034C"/>
    <w:rsid w:val="3B8D55E6"/>
    <w:rsid w:val="3B8F6C16"/>
    <w:rsid w:val="3B913CB0"/>
    <w:rsid w:val="3B9214EE"/>
    <w:rsid w:val="3B921A5A"/>
    <w:rsid w:val="3B927214"/>
    <w:rsid w:val="3B92761D"/>
    <w:rsid w:val="3B960E85"/>
    <w:rsid w:val="3B96222F"/>
    <w:rsid w:val="3B984A4D"/>
    <w:rsid w:val="3B9852AC"/>
    <w:rsid w:val="3B986476"/>
    <w:rsid w:val="3B9A6063"/>
    <w:rsid w:val="3B9B6DAF"/>
    <w:rsid w:val="3BA04A67"/>
    <w:rsid w:val="3BA1640F"/>
    <w:rsid w:val="3BA4062E"/>
    <w:rsid w:val="3BA44B50"/>
    <w:rsid w:val="3BAA33BE"/>
    <w:rsid w:val="3BAA654B"/>
    <w:rsid w:val="3BAD0921"/>
    <w:rsid w:val="3BAF4435"/>
    <w:rsid w:val="3BB03AA6"/>
    <w:rsid w:val="3BB215C2"/>
    <w:rsid w:val="3BB308D1"/>
    <w:rsid w:val="3BB33A5C"/>
    <w:rsid w:val="3BB77D7B"/>
    <w:rsid w:val="3BB83F02"/>
    <w:rsid w:val="3BB90EE5"/>
    <w:rsid w:val="3BBA325C"/>
    <w:rsid w:val="3BBD5D10"/>
    <w:rsid w:val="3BBF779E"/>
    <w:rsid w:val="3BC12993"/>
    <w:rsid w:val="3BC20093"/>
    <w:rsid w:val="3BC567B7"/>
    <w:rsid w:val="3BC72791"/>
    <w:rsid w:val="3BC82378"/>
    <w:rsid w:val="3BCB41C5"/>
    <w:rsid w:val="3BCE015F"/>
    <w:rsid w:val="3BD14983"/>
    <w:rsid w:val="3BD40325"/>
    <w:rsid w:val="3BD45183"/>
    <w:rsid w:val="3BD475DE"/>
    <w:rsid w:val="3BD549DD"/>
    <w:rsid w:val="3BD63E18"/>
    <w:rsid w:val="3BD915C2"/>
    <w:rsid w:val="3BD97D88"/>
    <w:rsid w:val="3BDA135F"/>
    <w:rsid w:val="3BDC5777"/>
    <w:rsid w:val="3BE10A58"/>
    <w:rsid w:val="3BE15183"/>
    <w:rsid w:val="3BE253B0"/>
    <w:rsid w:val="3BE447BC"/>
    <w:rsid w:val="3BE507C7"/>
    <w:rsid w:val="3BE5172D"/>
    <w:rsid w:val="3BE71750"/>
    <w:rsid w:val="3BE86DCD"/>
    <w:rsid w:val="3BEA62E1"/>
    <w:rsid w:val="3BEB2927"/>
    <w:rsid w:val="3BEB419C"/>
    <w:rsid w:val="3BED4AF4"/>
    <w:rsid w:val="3BED7BAC"/>
    <w:rsid w:val="3BF0107A"/>
    <w:rsid w:val="3BF01370"/>
    <w:rsid w:val="3BF35E9B"/>
    <w:rsid w:val="3BF56FFF"/>
    <w:rsid w:val="3BF824BD"/>
    <w:rsid w:val="3BFA1797"/>
    <w:rsid w:val="3BFC1005"/>
    <w:rsid w:val="3C01187D"/>
    <w:rsid w:val="3C012FA3"/>
    <w:rsid w:val="3C06207A"/>
    <w:rsid w:val="3C083929"/>
    <w:rsid w:val="3C0B0EB8"/>
    <w:rsid w:val="3C0C410C"/>
    <w:rsid w:val="3C0E33FE"/>
    <w:rsid w:val="3C126B68"/>
    <w:rsid w:val="3C1336E9"/>
    <w:rsid w:val="3C136081"/>
    <w:rsid w:val="3C153923"/>
    <w:rsid w:val="3C16570A"/>
    <w:rsid w:val="3C167ECD"/>
    <w:rsid w:val="3C1A0F85"/>
    <w:rsid w:val="3C1C311B"/>
    <w:rsid w:val="3C1D179C"/>
    <w:rsid w:val="3C2455C6"/>
    <w:rsid w:val="3C2965F4"/>
    <w:rsid w:val="3C2A1E96"/>
    <w:rsid w:val="3C2C3E8F"/>
    <w:rsid w:val="3C2C4102"/>
    <w:rsid w:val="3C332166"/>
    <w:rsid w:val="3C333368"/>
    <w:rsid w:val="3C34138D"/>
    <w:rsid w:val="3C367644"/>
    <w:rsid w:val="3C390215"/>
    <w:rsid w:val="3C39023A"/>
    <w:rsid w:val="3C3A7BD9"/>
    <w:rsid w:val="3C3B37B7"/>
    <w:rsid w:val="3C3C66F3"/>
    <w:rsid w:val="3C3D4075"/>
    <w:rsid w:val="3C3E487A"/>
    <w:rsid w:val="3C4058AC"/>
    <w:rsid w:val="3C412F47"/>
    <w:rsid w:val="3C42671C"/>
    <w:rsid w:val="3C4526F5"/>
    <w:rsid w:val="3C454E6F"/>
    <w:rsid w:val="3C461882"/>
    <w:rsid w:val="3C492A00"/>
    <w:rsid w:val="3C4964CF"/>
    <w:rsid w:val="3C500527"/>
    <w:rsid w:val="3C515593"/>
    <w:rsid w:val="3C52452B"/>
    <w:rsid w:val="3C5251AD"/>
    <w:rsid w:val="3C565DDD"/>
    <w:rsid w:val="3C58110E"/>
    <w:rsid w:val="3C5A5244"/>
    <w:rsid w:val="3C5B4BC0"/>
    <w:rsid w:val="3C5D1BD3"/>
    <w:rsid w:val="3C6066A6"/>
    <w:rsid w:val="3C6578B5"/>
    <w:rsid w:val="3C685B17"/>
    <w:rsid w:val="3C6A2DF2"/>
    <w:rsid w:val="3C6B715F"/>
    <w:rsid w:val="3C6B7DD7"/>
    <w:rsid w:val="3C6C6A43"/>
    <w:rsid w:val="3C735233"/>
    <w:rsid w:val="3C74293D"/>
    <w:rsid w:val="3C75428C"/>
    <w:rsid w:val="3C785BCC"/>
    <w:rsid w:val="3C7B33B3"/>
    <w:rsid w:val="3C7C2437"/>
    <w:rsid w:val="3C8355E6"/>
    <w:rsid w:val="3C8434CA"/>
    <w:rsid w:val="3C855C1E"/>
    <w:rsid w:val="3C86738A"/>
    <w:rsid w:val="3C8A368C"/>
    <w:rsid w:val="3C940603"/>
    <w:rsid w:val="3C970B8E"/>
    <w:rsid w:val="3C99433C"/>
    <w:rsid w:val="3C9A2146"/>
    <w:rsid w:val="3C9E46D6"/>
    <w:rsid w:val="3CA00969"/>
    <w:rsid w:val="3CA256C7"/>
    <w:rsid w:val="3CA324C8"/>
    <w:rsid w:val="3CA706EF"/>
    <w:rsid w:val="3CA82611"/>
    <w:rsid w:val="3CA93E84"/>
    <w:rsid w:val="3CAF0D86"/>
    <w:rsid w:val="3CB22792"/>
    <w:rsid w:val="3CB44B8E"/>
    <w:rsid w:val="3CB6370F"/>
    <w:rsid w:val="3CBD218B"/>
    <w:rsid w:val="3CBE3268"/>
    <w:rsid w:val="3CC156AC"/>
    <w:rsid w:val="3CC5303D"/>
    <w:rsid w:val="3CC63EFF"/>
    <w:rsid w:val="3CC76CB9"/>
    <w:rsid w:val="3CCC1907"/>
    <w:rsid w:val="3CCC3097"/>
    <w:rsid w:val="3CCD2793"/>
    <w:rsid w:val="3CCF322E"/>
    <w:rsid w:val="3CD106B1"/>
    <w:rsid w:val="3CD57394"/>
    <w:rsid w:val="3CD65115"/>
    <w:rsid w:val="3CD860F5"/>
    <w:rsid w:val="3CDC4512"/>
    <w:rsid w:val="3CE70F82"/>
    <w:rsid w:val="3CE85651"/>
    <w:rsid w:val="3CEC171A"/>
    <w:rsid w:val="3CEC6A2C"/>
    <w:rsid w:val="3CF02763"/>
    <w:rsid w:val="3CF20D44"/>
    <w:rsid w:val="3CF6516E"/>
    <w:rsid w:val="3CF665E4"/>
    <w:rsid w:val="3CF67AEC"/>
    <w:rsid w:val="3CF768C0"/>
    <w:rsid w:val="3CFA02D3"/>
    <w:rsid w:val="3CFA1231"/>
    <w:rsid w:val="3CFC21D7"/>
    <w:rsid w:val="3CFC3CF0"/>
    <w:rsid w:val="3D02607F"/>
    <w:rsid w:val="3D0465CF"/>
    <w:rsid w:val="3D07506F"/>
    <w:rsid w:val="3D0A1907"/>
    <w:rsid w:val="3D0B7C68"/>
    <w:rsid w:val="3D0C3DA7"/>
    <w:rsid w:val="3D0C7285"/>
    <w:rsid w:val="3D105140"/>
    <w:rsid w:val="3D10704C"/>
    <w:rsid w:val="3D133B1C"/>
    <w:rsid w:val="3D1358B6"/>
    <w:rsid w:val="3D15514F"/>
    <w:rsid w:val="3D156E8C"/>
    <w:rsid w:val="3D1B7431"/>
    <w:rsid w:val="3D1D41CF"/>
    <w:rsid w:val="3D217542"/>
    <w:rsid w:val="3D247E7E"/>
    <w:rsid w:val="3D257FBB"/>
    <w:rsid w:val="3D2675B3"/>
    <w:rsid w:val="3D277253"/>
    <w:rsid w:val="3D303510"/>
    <w:rsid w:val="3D303BFF"/>
    <w:rsid w:val="3D303E92"/>
    <w:rsid w:val="3D347D39"/>
    <w:rsid w:val="3D366890"/>
    <w:rsid w:val="3D396765"/>
    <w:rsid w:val="3D403B9E"/>
    <w:rsid w:val="3D451776"/>
    <w:rsid w:val="3D4A63D2"/>
    <w:rsid w:val="3D4B67AA"/>
    <w:rsid w:val="3D4C14B1"/>
    <w:rsid w:val="3D516914"/>
    <w:rsid w:val="3D517FBA"/>
    <w:rsid w:val="3D524FD5"/>
    <w:rsid w:val="3D554135"/>
    <w:rsid w:val="3D554FAD"/>
    <w:rsid w:val="3D591E26"/>
    <w:rsid w:val="3D5A1A42"/>
    <w:rsid w:val="3D5A3F4B"/>
    <w:rsid w:val="3D5B624E"/>
    <w:rsid w:val="3D6006C9"/>
    <w:rsid w:val="3D621B0B"/>
    <w:rsid w:val="3D644649"/>
    <w:rsid w:val="3D654592"/>
    <w:rsid w:val="3D6B207D"/>
    <w:rsid w:val="3D6E0A8D"/>
    <w:rsid w:val="3D7044AA"/>
    <w:rsid w:val="3D716008"/>
    <w:rsid w:val="3D73100B"/>
    <w:rsid w:val="3D7801A6"/>
    <w:rsid w:val="3D7A00EA"/>
    <w:rsid w:val="3D7B4CE6"/>
    <w:rsid w:val="3D7B54F7"/>
    <w:rsid w:val="3D7E1498"/>
    <w:rsid w:val="3D834A38"/>
    <w:rsid w:val="3D896BBE"/>
    <w:rsid w:val="3D8A191B"/>
    <w:rsid w:val="3D8B75C0"/>
    <w:rsid w:val="3D8C52CC"/>
    <w:rsid w:val="3D8C6DD7"/>
    <w:rsid w:val="3D8D743C"/>
    <w:rsid w:val="3D90448C"/>
    <w:rsid w:val="3D91745A"/>
    <w:rsid w:val="3D92150D"/>
    <w:rsid w:val="3D923235"/>
    <w:rsid w:val="3D940E92"/>
    <w:rsid w:val="3D955788"/>
    <w:rsid w:val="3D98749F"/>
    <w:rsid w:val="3D9C1CEA"/>
    <w:rsid w:val="3D9D216D"/>
    <w:rsid w:val="3D9D64D1"/>
    <w:rsid w:val="3D9E2A5E"/>
    <w:rsid w:val="3D9E5C7C"/>
    <w:rsid w:val="3DA14D7D"/>
    <w:rsid w:val="3DA22F93"/>
    <w:rsid w:val="3DA844B4"/>
    <w:rsid w:val="3DA902C2"/>
    <w:rsid w:val="3DA96BF0"/>
    <w:rsid w:val="3DAD7F2F"/>
    <w:rsid w:val="3DAE41E7"/>
    <w:rsid w:val="3DB31D86"/>
    <w:rsid w:val="3DB62994"/>
    <w:rsid w:val="3DB71032"/>
    <w:rsid w:val="3DB827FB"/>
    <w:rsid w:val="3DB8381F"/>
    <w:rsid w:val="3DBD3527"/>
    <w:rsid w:val="3DC1149C"/>
    <w:rsid w:val="3DC40B3D"/>
    <w:rsid w:val="3DC4226A"/>
    <w:rsid w:val="3DC7625B"/>
    <w:rsid w:val="3DCA36E5"/>
    <w:rsid w:val="3DCA3993"/>
    <w:rsid w:val="3DCB5EBF"/>
    <w:rsid w:val="3DD03144"/>
    <w:rsid w:val="3DD04E44"/>
    <w:rsid w:val="3DD3265E"/>
    <w:rsid w:val="3DD42230"/>
    <w:rsid w:val="3DD7483A"/>
    <w:rsid w:val="3DD90749"/>
    <w:rsid w:val="3DD967A7"/>
    <w:rsid w:val="3DDD6954"/>
    <w:rsid w:val="3DE103FA"/>
    <w:rsid w:val="3DE54CC5"/>
    <w:rsid w:val="3DE61B3E"/>
    <w:rsid w:val="3DE7201B"/>
    <w:rsid w:val="3DE83A26"/>
    <w:rsid w:val="3DEA7277"/>
    <w:rsid w:val="3DEE2517"/>
    <w:rsid w:val="3DF13357"/>
    <w:rsid w:val="3DF2059A"/>
    <w:rsid w:val="3DF20C5A"/>
    <w:rsid w:val="3DF471AC"/>
    <w:rsid w:val="3DF939AA"/>
    <w:rsid w:val="3DFF59CF"/>
    <w:rsid w:val="3E006F60"/>
    <w:rsid w:val="3E033322"/>
    <w:rsid w:val="3E0C0464"/>
    <w:rsid w:val="3E0E0835"/>
    <w:rsid w:val="3E104594"/>
    <w:rsid w:val="3E110035"/>
    <w:rsid w:val="3E114C22"/>
    <w:rsid w:val="3E136A14"/>
    <w:rsid w:val="3E140786"/>
    <w:rsid w:val="3E141CFB"/>
    <w:rsid w:val="3E14618E"/>
    <w:rsid w:val="3E16300D"/>
    <w:rsid w:val="3E18488D"/>
    <w:rsid w:val="3E1B6B27"/>
    <w:rsid w:val="3E1C2C45"/>
    <w:rsid w:val="3E1F623B"/>
    <w:rsid w:val="3E203CB7"/>
    <w:rsid w:val="3E204A6C"/>
    <w:rsid w:val="3E206729"/>
    <w:rsid w:val="3E211185"/>
    <w:rsid w:val="3E2739BC"/>
    <w:rsid w:val="3E28719C"/>
    <w:rsid w:val="3E2B487F"/>
    <w:rsid w:val="3E2D08DA"/>
    <w:rsid w:val="3E2D1BDA"/>
    <w:rsid w:val="3E2D7B4E"/>
    <w:rsid w:val="3E367CC2"/>
    <w:rsid w:val="3E3C3851"/>
    <w:rsid w:val="3E3D74A6"/>
    <w:rsid w:val="3E42204F"/>
    <w:rsid w:val="3E4875CF"/>
    <w:rsid w:val="3E487DE1"/>
    <w:rsid w:val="3E4905C6"/>
    <w:rsid w:val="3E4A474E"/>
    <w:rsid w:val="3E4C0086"/>
    <w:rsid w:val="3E4C3D53"/>
    <w:rsid w:val="3E4D3663"/>
    <w:rsid w:val="3E4F032C"/>
    <w:rsid w:val="3E5750C1"/>
    <w:rsid w:val="3E595AD8"/>
    <w:rsid w:val="3E5C2F95"/>
    <w:rsid w:val="3E5C4725"/>
    <w:rsid w:val="3E5E1D9B"/>
    <w:rsid w:val="3E600C4B"/>
    <w:rsid w:val="3E607408"/>
    <w:rsid w:val="3E620712"/>
    <w:rsid w:val="3E6459C9"/>
    <w:rsid w:val="3E662037"/>
    <w:rsid w:val="3E690FAC"/>
    <w:rsid w:val="3E6D042D"/>
    <w:rsid w:val="3E6D0683"/>
    <w:rsid w:val="3E6D2EA2"/>
    <w:rsid w:val="3E73670E"/>
    <w:rsid w:val="3E795E16"/>
    <w:rsid w:val="3E7C7A25"/>
    <w:rsid w:val="3E7D3423"/>
    <w:rsid w:val="3E7D7764"/>
    <w:rsid w:val="3E7F45EA"/>
    <w:rsid w:val="3E8B0BC3"/>
    <w:rsid w:val="3E8B4372"/>
    <w:rsid w:val="3E911E6D"/>
    <w:rsid w:val="3E9C721B"/>
    <w:rsid w:val="3E9D6C95"/>
    <w:rsid w:val="3EA068AF"/>
    <w:rsid w:val="3EA0753E"/>
    <w:rsid w:val="3EA1240E"/>
    <w:rsid w:val="3EA55631"/>
    <w:rsid w:val="3EA60337"/>
    <w:rsid w:val="3EA9465A"/>
    <w:rsid w:val="3EB0629C"/>
    <w:rsid w:val="3EB27C55"/>
    <w:rsid w:val="3EB6105A"/>
    <w:rsid w:val="3EB84BC3"/>
    <w:rsid w:val="3EB85665"/>
    <w:rsid w:val="3EBD6BAC"/>
    <w:rsid w:val="3EBE3859"/>
    <w:rsid w:val="3EBF370F"/>
    <w:rsid w:val="3EBF498A"/>
    <w:rsid w:val="3EC034C1"/>
    <w:rsid w:val="3EC52FF7"/>
    <w:rsid w:val="3EC82428"/>
    <w:rsid w:val="3ECA62E7"/>
    <w:rsid w:val="3ED31935"/>
    <w:rsid w:val="3ED70CC1"/>
    <w:rsid w:val="3ED74199"/>
    <w:rsid w:val="3ED81077"/>
    <w:rsid w:val="3ED9612A"/>
    <w:rsid w:val="3EDA7BF5"/>
    <w:rsid w:val="3EDE1034"/>
    <w:rsid w:val="3EE07DAC"/>
    <w:rsid w:val="3EE11754"/>
    <w:rsid w:val="3EE26CB2"/>
    <w:rsid w:val="3EE37192"/>
    <w:rsid w:val="3EE45BE6"/>
    <w:rsid w:val="3EE84B7C"/>
    <w:rsid w:val="3EE86D21"/>
    <w:rsid w:val="3EEE29AA"/>
    <w:rsid w:val="3EEE2E6C"/>
    <w:rsid w:val="3EEF25D6"/>
    <w:rsid w:val="3EF45767"/>
    <w:rsid w:val="3EF52567"/>
    <w:rsid w:val="3EF6207E"/>
    <w:rsid w:val="3EF820FE"/>
    <w:rsid w:val="3EF86272"/>
    <w:rsid w:val="3EFA5BF7"/>
    <w:rsid w:val="3EFB21AB"/>
    <w:rsid w:val="3EFD697C"/>
    <w:rsid w:val="3F0145D9"/>
    <w:rsid w:val="3F0159C4"/>
    <w:rsid w:val="3F031D31"/>
    <w:rsid w:val="3F0468A2"/>
    <w:rsid w:val="3F063982"/>
    <w:rsid w:val="3F06739B"/>
    <w:rsid w:val="3F084EDE"/>
    <w:rsid w:val="3F087885"/>
    <w:rsid w:val="3F09251A"/>
    <w:rsid w:val="3F0B378F"/>
    <w:rsid w:val="3F122E22"/>
    <w:rsid w:val="3F1509F3"/>
    <w:rsid w:val="3F1622A9"/>
    <w:rsid w:val="3F162A13"/>
    <w:rsid w:val="3F170BE2"/>
    <w:rsid w:val="3F1862AE"/>
    <w:rsid w:val="3F1914AC"/>
    <w:rsid w:val="3F1B5891"/>
    <w:rsid w:val="3F1E21F2"/>
    <w:rsid w:val="3F1F053E"/>
    <w:rsid w:val="3F213091"/>
    <w:rsid w:val="3F214D9F"/>
    <w:rsid w:val="3F2935CF"/>
    <w:rsid w:val="3F315262"/>
    <w:rsid w:val="3F327FC5"/>
    <w:rsid w:val="3F342784"/>
    <w:rsid w:val="3F385A3B"/>
    <w:rsid w:val="3F3B5161"/>
    <w:rsid w:val="3F3B52B4"/>
    <w:rsid w:val="3F3B607A"/>
    <w:rsid w:val="3F412AC1"/>
    <w:rsid w:val="3F432F25"/>
    <w:rsid w:val="3F435B3B"/>
    <w:rsid w:val="3F446AD1"/>
    <w:rsid w:val="3F4565F3"/>
    <w:rsid w:val="3F456F01"/>
    <w:rsid w:val="3F4F134F"/>
    <w:rsid w:val="3F4F1480"/>
    <w:rsid w:val="3F556B07"/>
    <w:rsid w:val="3F5852C6"/>
    <w:rsid w:val="3F585BCD"/>
    <w:rsid w:val="3F5D73A4"/>
    <w:rsid w:val="3F5E1413"/>
    <w:rsid w:val="3F5E3ADE"/>
    <w:rsid w:val="3F5E7D33"/>
    <w:rsid w:val="3F6038FD"/>
    <w:rsid w:val="3F613FA5"/>
    <w:rsid w:val="3F6355D4"/>
    <w:rsid w:val="3F6577A0"/>
    <w:rsid w:val="3F663FCA"/>
    <w:rsid w:val="3F6A3105"/>
    <w:rsid w:val="3F6A3EBA"/>
    <w:rsid w:val="3F6A4AA3"/>
    <w:rsid w:val="3F6B77BF"/>
    <w:rsid w:val="3F70148B"/>
    <w:rsid w:val="3F72577B"/>
    <w:rsid w:val="3F752F6B"/>
    <w:rsid w:val="3F775AE9"/>
    <w:rsid w:val="3F790EAE"/>
    <w:rsid w:val="3F796CF6"/>
    <w:rsid w:val="3F7C5041"/>
    <w:rsid w:val="3F7D0343"/>
    <w:rsid w:val="3F803301"/>
    <w:rsid w:val="3F812DA6"/>
    <w:rsid w:val="3F850909"/>
    <w:rsid w:val="3F8876A5"/>
    <w:rsid w:val="3F8934FD"/>
    <w:rsid w:val="3F8E575E"/>
    <w:rsid w:val="3F910BFA"/>
    <w:rsid w:val="3F9232BF"/>
    <w:rsid w:val="3F93358E"/>
    <w:rsid w:val="3F9365A1"/>
    <w:rsid w:val="3F9540D2"/>
    <w:rsid w:val="3F963AD6"/>
    <w:rsid w:val="3F9A768E"/>
    <w:rsid w:val="3F9B45C5"/>
    <w:rsid w:val="3F9C4150"/>
    <w:rsid w:val="3F9D261C"/>
    <w:rsid w:val="3F9F5D23"/>
    <w:rsid w:val="3FA21BF3"/>
    <w:rsid w:val="3FA267D4"/>
    <w:rsid w:val="3FA64CB3"/>
    <w:rsid w:val="3FA82FBF"/>
    <w:rsid w:val="3FA90A14"/>
    <w:rsid w:val="3FAA3AAA"/>
    <w:rsid w:val="3FAD5FAA"/>
    <w:rsid w:val="3FB03D85"/>
    <w:rsid w:val="3FB2228F"/>
    <w:rsid w:val="3FB4703A"/>
    <w:rsid w:val="3FB50A42"/>
    <w:rsid w:val="3FB71143"/>
    <w:rsid w:val="3FBA3527"/>
    <w:rsid w:val="3FBE5D25"/>
    <w:rsid w:val="3FBE6A33"/>
    <w:rsid w:val="3FBF357F"/>
    <w:rsid w:val="3FC062D8"/>
    <w:rsid w:val="3FC14824"/>
    <w:rsid w:val="3FC153F5"/>
    <w:rsid w:val="3FC47B2C"/>
    <w:rsid w:val="3FC87A4E"/>
    <w:rsid w:val="3FCF48A5"/>
    <w:rsid w:val="3FD26C5D"/>
    <w:rsid w:val="3FD71771"/>
    <w:rsid w:val="3FD80CDD"/>
    <w:rsid w:val="3FDC6798"/>
    <w:rsid w:val="3FDD3C79"/>
    <w:rsid w:val="3FDE5A9A"/>
    <w:rsid w:val="3FDE75FD"/>
    <w:rsid w:val="3FE04CD3"/>
    <w:rsid w:val="3FE37989"/>
    <w:rsid w:val="3FED7706"/>
    <w:rsid w:val="3FF21DB5"/>
    <w:rsid w:val="3FFC54A0"/>
    <w:rsid w:val="4000698A"/>
    <w:rsid w:val="40031BA3"/>
    <w:rsid w:val="40035EF8"/>
    <w:rsid w:val="40063E9B"/>
    <w:rsid w:val="40063FD5"/>
    <w:rsid w:val="40085BFA"/>
    <w:rsid w:val="400C16B5"/>
    <w:rsid w:val="400E1FF5"/>
    <w:rsid w:val="400E6EBF"/>
    <w:rsid w:val="40121A0D"/>
    <w:rsid w:val="40173534"/>
    <w:rsid w:val="40186671"/>
    <w:rsid w:val="401B0524"/>
    <w:rsid w:val="401E2C86"/>
    <w:rsid w:val="401F1D44"/>
    <w:rsid w:val="40211B36"/>
    <w:rsid w:val="40213DE8"/>
    <w:rsid w:val="40231EC9"/>
    <w:rsid w:val="4029249F"/>
    <w:rsid w:val="402D2B37"/>
    <w:rsid w:val="40300637"/>
    <w:rsid w:val="4032797F"/>
    <w:rsid w:val="40327F29"/>
    <w:rsid w:val="403362D0"/>
    <w:rsid w:val="4034037A"/>
    <w:rsid w:val="40370813"/>
    <w:rsid w:val="40385015"/>
    <w:rsid w:val="4039316E"/>
    <w:rsid w:val="403A036C"/>
    <w:rsid w:val="403A0726"/>
    <w:rsid w:val="403D42A3"/>
    <w:rsid w:val="403F3BAE"/>
    <w:rsid w:val="40421101"/>
    <w:rsid w:val="40441481"/>
    <w:rsid w:val="404B035A"/>
    <w:rsid w:val="404F36F2"/>
    <w:rsid w:val="40514839"/>
    <w:rsid w:val="40540548"/>
    <w:rsid w:val="405605B2"/>
    <w:rsid w:val="40584876"/>
    <w:rsid w:val="40604270"/>
    <w:rsid w:val="40611020"/>
    <w:rsid w:val="40620EDF"/>
    <w:rsid w:val="406436E0"/>
    <w:rsid w:val="406529A5"/>
    <w:rsid w:val="40663733"/>
    <w:rsid w:val="4067461E"/>
    <w:rsid w:val="40677713"/>
    <w:rsid w:val="40685A11"/>
    <w:rsid w:val="406B3C76"/>
    <w:rsid w:val="406D01EF"/>
    <w:rsid w:val="40716478"/>
    <w:rsid w:val="40755846"/>
    <w:rsid w:val="40761A0B"/>
    <w:rsid w:val="407733D2"/>
    <w:rsid w:val="407D496C"/>
    <w:rsid w:val="407F6991"/>
    <w:rsid w:val="4080767D"/>
    <w:rsid w:val="40830183"/>
    <w:rsid w:val="408A684A"/>
    <w:rsid w:val="408C1AF8"/>
    <w:rsid w:val="408D5005"/>
    <w:rsid w:val="40900E9C"/>
    <w:rsid w:val="409065D2"/>
    <w:rsid w:val="4091754E"/>
    <w:rsid w:val="409432A8"/>
    <w:rsid w:val="40963483"/>
    <w:rsid w:val="40967622"/>
    <w:rsid w:val="40970948"/>
    <w:rsid w:val="40970CCB"/>
    <w:rsid w:val="409E78AF"/>
    <w:rsid w:val="409F1B42"/>
    <w:rsid w:val="409F32C6"/>
    <w:rsid w:val="40A0572E"/>
    <w:rsid w:val="40A16E9C"/>
    <w:rsid w:val="40A67FB1"/>
    <w:rsid w:val="40A909D6"/>
    <w:rsid w:val="40AC3108"/>
    <w:rsid w:val="40AD4D58"/>
    <w:rsid w:val="40AD53D0"/>
    <w:rsid w:val="40AE2064"/>
    <w:rsid w:val="40B22EFC"/>
    <w:rsid w:val="40BC0A36"/>
    <w:rsid w:val="40BC6347"/>
    <w:rsid w:val="40BD1233"/>
    <w:rsid w:val="40C11C3D"/>
    <w:rsid w:val="40C16F90"/>
    <w:rsid w:val="40CB3D61"/>
    <w:rsid w:val="40CE7ABE"/>
    <w:rsid w:val="40CF1894"/>
    <w:rsid w:val="40CF5137"/>
    <w:rsid w:val="40D00E7A"/>
    <w:rsid w:val="40D20223"/>
    <w:rsid w:val="40D33431"/>
    <w:rsid w:val="40D33CA9"/>
    <w:rsid w:val="40D45DDF"/>
    <w:rsid w:val="40D559C8"/>
    <w:rsid w:val="40D77473"/>
    <w:rsid w:val="40D80E83"/>
    <w:rsid w:val="40DA3828"/>
    <w:rsid w:val="40E078DE"/>
    <w:rsid w:val="40E11565"/>
    <w:rsid w:val="40E151B6"/>
    <w:rsid w:val="40E36F6B"/>
    <w:rsid w:val="40E56A1A"/>
    <w:rsid w:val="40E60E0A"/>
    <w:rsid w:val="40E96377"/>
    <w:rsid w:val="40F067B1"/>
    <w:rsid w:val="40F22DE0"/>
    <w:rsid w:val="40F24053"/>
    <w:rsid w:val="40F4694D"/>
    <w:rsid w:val="40F51D7E"/>
    <w:rsid w:val="40F52322"/>
    <w:rsid w:val="40F817DD"/>
    <w:rsid w:val="40FA0BB4"/>
    <w:rsid w:val="40FA3F6F"/>
    <w:rsid w:val="40FE419E"/>
    <w:rsid w:val="40FF1951"/>
    <w:rsid w:val="40FF4D99"/>
    <w:rsid w:val="410007DA"/>
    <w:rsid w:val="410126AA"/>
    <w:rsid w:val="41030E9E"/>
    <w:rsid w:val="41041238"/>
    <w:rsid w:val="41042B33"/>
    <w:rsid w:val="4105227F"/>
    <w:rsid w:val="41064A48"/>
    <w:rsid w:val="41067317"/>
    <w:rsid w:val="4106765F"/>
    <w:rsid w:val="410935ED"/>
    <w:rsid w:val="410D2CBD"/>
    <w:rsid w:val="41154BEA"/>
    <w:rsid w:val="41154EAF"/>
    <w:rsid w:val="41161F4B"/>
    <w:rsid w:val="411A3159"/>
    <w:rsid w:val="411E0694"/>
    <w:rsid w:val="411E0E9F"/>
    <w:rsid w:val="411E544F"/>
    <w:rsid w:val="411F62AA"/>
    <w:rsid w:val="412012D2"/>
    <w:rsid w:val="41226DD5"/>
    <w:rsid w:val="41250FF9"/>
    <w:rsid w:val="412603AA"/>
    <w:rsid w:val="41271A7D"/>
    <w:rsid w:val="4129404B"/>
    <w:rsid w:val="412C084D"/>
    <w:rsid w:val="412F30FA"/>
    <w:rsid w:val="41350B11"/>
    <w:rsid w:val="41377E9D"/>
    <w:rsid w:val="413B56E0"/>
    <w:rsid w:val="413F668B"/>
    <w:rsid w:val="41404031"/>
    <w:rsid w:val="414124EB"/>
    <w:rsid w:val="41422A0F"/>
    <w:rsid w:val="41453FAC"/>
    <w:rsid w:val="41454B1F"/>
    <w:rsid w:val="4147536D"/>
    <w:rsid w:val="414804EB"/>
    <w:rsid w:val="414B143C"/>
    <w:rsid w:val="414D2552"/>
    <w:rsid w:val="414D3769"/>
    <w:rsid w:val="41505498"/>
    <w:rsid w:val="4154072C"/>
    <w:rsid w:val="41596B2E"/>
    <w:rsid w:val="415C3BCC"/>
    <w:rsid w:val="415C5AAC"/>
    <w:rsid w:val="415E1637"/>
    <w:rsid w:val="415E24CE"/>
    <w:rsid w:val="415E43D2"/>
    <w:rsid w:val="41674C00"/>
    <w:rsid w:val="416A095D"/>
    <w:rsid w:val="416B5FA0"/>
    <w:rsid w:val="416C44DF"/>
    <w:rsid w:val="416C473C"/>
    <w:rsid w:val="416D00F1"/>
    <w:rsid w:val="417331E3"/>
    <w:rsid w:val="41742297"/>
    <w:rsid w:val="41755D89"/>
    <w:rsid w:val="417663EA"/>
    <w:rsid w:val="41766466"/>
    <w:rsid w:val="4177615A"/>
    <w:rsid w:val="417A1D21"/>
    <w:rsid w:val="417A4CC9"/>
    <w:rsid w:val="417B38FB"/>
    <w:rsid w:val="417D35DB"/>
    <w:rsid w:val="4182174D"/>
    <w:rsid w:val="4185035B"/>
    <w:rsid w:val="418C6CA6"/>
    <w:rsid w:val="41910BFC"/>
    <w:rsid w:val="41986DEA"/>
    <w:rsid w:val="41991CB8"/>
    <w:rsid w:val="419973DD"/>
    <w:rsid w:val="419A5052"/>
    <w:rsid w:val="419C6710"/>
    <w:rsid w:val="419F64A1"/>
    <w:rsid w:val="41A20737"/>
    <w:rsid w:val="41A270B3"/>
    <w:rsid w:val="41A272DA"/>
    <w:rsid w:val="41A35760"/>
    <w:rsid w:val="41A4093D"/>
    <w:rsid w:val="41A52CC5"/>
    <w:rsid w:val="41A601E3"/>
    <w:rsid w:val="41A852E6"/>
    <w:rsid w:val="41AF3935"/>
    <w:rsid w:val="41B024C9"/>
    <w:rsid w:val="41B06B65"/>
    <w:rsid w:val="41B33461"/>
    <w:rsid w:val="41B60B14"/>
    <w:rsid w:val="41B6422C"/>
    <w:rsid w:val="41B65BB6"/>
    <w:rsid w:val="41B82CC8"/>
    <w:rsid w:val="41B963CC"/>
    <w:rsid w:val="41B97E9E"/>
    <w:rsid w:val="41BC0CFE"/>
    <w:rsid w:val="41BF7AD8"/>
    <w:rsid w:val="41C71F48"/>
    <w:rsid w:val="41C82419"/>
    <w:rsid w:val="41C956F1"/>
    <w:rsid w:val="41CB5F7B"/>
    <w:rsid w:val="41CD3548"/>
    <w:rsid w:val="41CD4B74"/>
    <w:rsid w:val="41CD79F3"/>
    <w:rsid w:val="41D061EA"/>
    <w:rsid w:val="41D23EBF"/>
    <w:rsid w:val="41D27B89"/>
    <w:rsid w:val="41D35D73"/>
    <w:rsid w:val="41D46FAF"/>
    <w:rsid w:val="41D640CD"/>
    <w:rsid w:val="41DA4C42"/>
    <w:rsid w:val="41DB0B52"/>
    <w:rsid w:val="41DB579E"/>
    <w:rsid w:val="41DD3C64"/>
    <w:rsid w:val="41E05E10"/>
    <w:rsid w:val="41E171B1"/>
    <w:rsid w:val="41E17943"/>
    <w:rsid w:val="41E575E6"/>
    <w:rsid w:val="41E87447"/>
    <w:rsid w:val="41EB499E"/>
    <w:rsid w:val="41EC52D5"/>
    <w:rsid w:val="41EE5815"/>
    <w:rsid w:val="41EE62AC"/>
    <w:rsid w:val="41F27393"/>
    <w:rsid w:val="41F71D46"/>
    <w:rsid w:val="41FC086C"/>
    <w:rsid w:val="41FC0E7E"/>
    <w:rsid w:val="420012BE"/>
    <w:rsid w:val="420177BA"/>
    <w:rsid w:val="42025423"/>
    <w:rsid w:val="420479AB"/>
    <w:rsid w:val="4205719F"/>
    <w:rsid w:val="42074E9B"/>
    <w:rsid w:val="42077BF4"/>
    <w:rsid w:val="42093F62"/>
    <w:rsid w:val="420960F0"/>
    <w:rsid w:val="420A77D6"/>
    <w:rsid w:val="42105E83"/>
    <w:rsid w:val="42124124"/>
    <w:rsid w:val="42146781"/>
    <w:rsid w:val="42152B41"/>
    <w:rsid w:val="421538FD"/>
    <w:rsid w:val="42161B7A"/>
    <w:rsid w:val="42180060"/>
    <w:rsid w:val="421C7B6B"/>
    <w:rsid w:val="421D2F08"/>
    <w:rsid w:val="421E0206"/>
    <w:rsid w:val="42200746"/>
    <w:rsid w:val="4221300A"/>
    <w:rsid w:val="422148A3"/>
    <w:rsid w:val="422358B7"/>
    <w:rsid w:val="422B2CDB"/>
    <w:rsid w:val="422B41D6"/>
    <w:rsid w:val="422E3479"/>
    <w:rsid w:val="423036C3"/>
    <w:rsid w:val="42320C04"/>
    <w:rsid w:val="423507A3"/>
    <w:rsid w:val="423B10F7"/>
    <w:rsid w:val="423D652F"/>
    <w:rsid w:val="423F290F"/>
    <w:rsid w:val="424301E1"/>
    <w:rsid w:val="42442C5C"/>
    <w:rsid w:val="4245372E"/>
    <w:rsid w:val="42454D8E"/>
    <w:rsid w:val="42472E9B"/>
    <w:rsid w:val="424831EB"/>
    <w:rsid w:val="424913AA"/>
    <w:rsid w:val="424A29D3"/>
    <w:rsid w:val="424A39EC"/>
    <w:rsid w:val="42500544"/>
    <w:rsid w:val="42533DFF"/>
    <w:rsid w:val="42580578"/>
    <w:rsid w:val="42580B12"/>
    <w:rsid w:val="425A1F2F"/>
    <w:rsid w:val="425F2BE5"/>
    <w:rsid w:val="426305F3"/>
    <w:rsid w:val="4263174A"/>
    <w:rsid w:val="426406EC"/>
    <w:rsid w:val="42652153"/>
    <w:rsid w:val="42671A02"/>
    <w:rsid w:val="42680246"/>
    <w:rsid w:val="426810CA"/>
    <w:rsid w:val="42681AF8"/>
    <w:rsid w:val="42691FEE"/>
    <w:rsid w:val="426B7D55"/>
    <w:rsid w:val="426D482A"/>
    <w:rsid w:val="42733BD0"/>
    <w:rsid w:val="42767208"/>
    <w:rsid w:val="427813F9"/>
    <w:rsid w:val="427B1555"/>
    <w:rsid w:val="427C294E"/>
    <w:rsid w:val="427C6EAB"/>
    <w:rsid w:val="427D0B1E"/>
    <w:rsid w:val="427E4965"/>
    <w:rsid w:val="42810AB9"/>
    <w:rsid w:val="428213D9"/>
    <w:rsid w:val="42826F33"/>
    <w:rsid w:val="42863CD1"/>
    <w:rsid w:val="42876A43"/>
    <w:rsid w:val="4289456A"/>
    <w:rsid w:val="428F48CE"/>
    <w:rsid w:val="428F6832"/>
    <w:rsid w:val="42901C75"/>
    <w:rsid w:val="42947298"/>
    <w:rsid w:val="42953FC9"/>
    <w:rsid w:val="429B60B6"/>
    <w:rsid w:val="429B6E88"/>
    <w:rsid w:val="429C725D"/>
    <w:rsid w:val="429E14E0"/>
    <w:rsid w:val="429E4123"/>
    <w:rsid w:val="42A83A47"/>
    <w:rsid w:val="42A8617F"/>
    <w:rsid w:val="42AB0B25"/>
    <w:rsid w:val="42AB2CE0"/>
    <w:rsid w:val="42AE5B3E"/>
    <w:rsid w:val="42B612B7"/>
    <w:rsid w:val="42B86ECE"/>
    <w:rsid w:val="42B977E7"/>
    <w:rsid w:val="42BA0631"/>
    <w:rsid w:val="42BA6445"/>
    <w:rsid w:val="42BB3928"/>
    <w:rsid w:val="42BE5338"/>
    <w:rsid w:val="42C216E5"/>
    <w:rsid w:val="42C427A0"/>
    <w:rsid w:val="42C66573"/>
    <w:rsid w:val="42C9529B"/>
    <w:rsid w:val="42C96C51"/>
    <w:rsid w:val="42CC179C"/>
    <w:rsid w:val="42CE0430"/>
    <w:rsid w:val="42CE6441"/>
    <w:rsid w:val="42CF4085"/>
    <w:rsid w:val="42D37A13"/>
    <w:rsid w:val="42D45998"/>
    <w:rsid w:val="42D96409"/>
    <w:rsid w:val="42DA0616"/>
    <w:rsid w:val="42DC0562"/>
    <w:rsid w:val="42DD33AA"/>
    <w:rsid w:val="42DD67D4"/>
    <w:rsid w:val="42E00A2C"/>
    <w:rsid w:val="42E44563"/>
    <w:rsid w:val="42E62F6D"/>
    <w:rsid w:val="42ED3A38"/>
    <w:rsid w:val="42F05895"/>
    <w:rsid w:val="42F15037"/>
    <w:rsid w:val="42F2492A"/>
    <w:rsid w:val="42F426B3"/>
    <w:rsid w:val="42F65919"/>
    <w:rsid w:val="42F67AEF"/>
    <w:rsid w:val="42F80BBB"/>
    <w:rsid w:val="42FB2BA6"/>
    <w:rsid w:val="42FB4CC5"/>
    <w:rsid w:val="42FE6D69"/>
    <w:rsid w:val="42FE7DCF"/>
    <w:rsid w:val="42FF1511"/>
    <w:rsid w:val="430000FE"/>
    <w:rsid w:val="4303276C"/>
    <w:rsid w:val="430427A3"/>
    <w:rsid w:val="4304446A"/>
    <w:rsid w:val="4307680A"/>
    <w:rsid w:val="43087B67"/>
    <w:rsid w:val="430C7A2C"/>
    <w:rsid w:val="430D368F"/>
    <w:rsid w:val="430D68B0"/>
    <w:rsid w:val="430F25A2"/>
    <w:rsid w:val="430F2DC6"/>
    <w:rsid w:val="431526F5"/>
    <w:rsid w:val="43196908"/>
    <w:rsid w:val="431A20AC"/>
    <w:rsid w:val="431B2133"/>
    <w:rsid w:val="431C5C19"/>
    <w:rsid w:val="431F647F"/>
    <w:rsid w:val="43206D30"/>
    <w:rsid w:val="43225B8A"/>
    <w:rsid w:val="4325069D"/>
    <w:rsid w:val="4325727E"/>
    <w:rsid w:val="43260A9E"/>
    <w:rsid w:val="432838B5"/>
    <w:rsid w:val="432B58AD"/>
    <w:rsid w:val="432D03AF"/>
    <w:rsid w:val="432D6439"/>
    <w:rsid w:val="43301772"/>
    <w:rsid w:val="43304163"/>
    <w:rsid w:val="43312533"/>
    <w:rsid w:val="433255E8"/>
    <w:rsid w:val="43333C7F"/>
    <w:rsid w:val="43340FFB"/>
    <w:rsid w:val="433666CB"/>
    <w:rsid w:val="433B0936"/>
    <w:rsid w:val="433B14FA"/>
    <w:rsid w:val="433B6150"/>
    <w:rsid w:val="433F4147"/>
    <w:rsid w:val="433F6C58"/>
    <w:rsid w:val="43435EFE"/>
    <w:rsid w:val="43454822"/>
    <w:rsid w:val="43454891"/>
    <w:rsid w:val="43484883"/>
    <w:rsid w:val="43493488"/>
    <w:rsid w:val="434C71D0"/>
    <w:rsid w:val="434E174B"/>
    <w:rsid w:val="434E7243"/>
    <w:rsid w:val="435067C5"/>
    <w:rsid w:val="43517155"/>
    <w:rsid w:val="43526FE2"/>
    <w:rsid w:val="4355641F"/>
    <w:rsid w:val="43557EBA"/>
    <w:rsid w:val="43582D21"/>
    <w:rsid w:val="43590FFD"/>
    <w:rsid w:val="435B472F"/>
    <w:rsid w:val="435E4B5B"/>
    <w:rsid w:val="435E7133"/>
    <w:rsid w:val="435F3334"/>
    <w:rsid w:val="435F5099"/>
    <w:rsid w:val="43623848"/>
    <w:rsid w:val="43652ECA"/>
    <w:rsid w:val="43661B26"/>
    <w:rsid w:val="43661D2C"/>
    <w:rsid w:val="43687034"/>
    <w:rsid w:val="436938C0"/>
    <w:rsid w:val="43696D86"/>
    <w:rsid w:val="436A47E8"/>
    <w:rsid w:val="436B3A07"/>
    <w:rsid w:val="436C4F08"/>
    <w:rsid w:val="436F166C"/>
    <w:rsid w:val="43710344"/>
    <w:rsid w:val="4374480A"/>
    <w:rsid w:val="43777909"/>
    <w:rsid w:val="43793DA7"/>
    <w:rsid w:val="437A2D56"/>
    <w:rsid w:val="437C0A41"/>
    <w:rsid w:val="437C39E9"/>
    <w:rsid w:val="438023B5"/>
    <w:rsid w:val="43824209"/>
    <w:rsid w:val="438242B0"/>
    <w:rsid w:val="438469DF"/>
    <w:rsid w:val="4386590E"/>
    <w:rsid w:val="438666BE"/>
    <w:rsid w:val="43882DD3"/>
    <w:rsid w:val="438931C1"/>
    <w:rsid w:val="43893C28"/>
    <w:rsid w:val="438A4644"/>
    <w:rsid w:val="438D5373"/>
    <w:rsid w:val="438E6DC9"/>
    <w:rsid w:val="439102B3"/>
    <w:rsid w:val="4395206E"/>
    <w:rsid w:val="43970B6B"/>
    <w:rsid w:val="43976CA4"/>
    <w:rsid w:val="4399143B"/>
    <w:rsid w:val="439A7C5B"/>
    <w:rsid w:val="439B4E76"/>
    <w:rsid w:val="439D4C70"/>
    <w:rsid w:val="439E039E"/>
    <w:rsid w:val="439F2749"/>
    <w:rsid w:val="43A03DFD"/>
    <w:rsid w:val="43A11677"/>
    <w:rsid w:val="43A826D8"/>
    <w:rsid w:val="43A86443"/>
    <w:rsid w:val="43AE5A18"/>
    <w:rsid w:val="43B445CF"/>
    <w:rsid w:val="43B64000"/>
    <w:rsid w:val="43B8156D"/>
    <w:rsid w:val="43BA479A"/>
    <w:rsid w:val="43BC2417"/>
    <w:rsid w:val="43BD7A72"/>
    <w:rsid w:val="43C066AE"/>
    <w:rsid w:val="43C36171"/>
    <w:rsid w:val="43C46622"/>
    <w:rsid w:val="43C56C19"/>
    <w:rsid w:val="43C72F90"/>
    <w:rsid w:val="43C81EFC"/>
    <w:rsid w:val="43C86841"/>
    <w:rsid w:val="43CB2325"/>
    <w:rsid w:val="43CC0B27"/>
    <w:rsid w:val="43CF35D2"/>
    <w:rsid w:val="43CF6EF2"/>
    <w:rsid w:val="43D33143"/>
    <w:rsid w:val="43D41991"/>
    <w:rsid w:val="43D555F4"/>
    <w:rsid w:val="43D62CA9"/>
    <w:rsid w:val="43D765E8"/>
    <w:rsid w:val="43DA336F"/>
    <w:rsid w:val="43DA3C36"/>
    <w:rsid w:val="43DD1230"/>
    <w:rsid w:val="43DE0706"/>
    <w:rsid w:val="43E1782F"/>
    <w:rsid w:val="43E4373B"/>
    <w:rsid w:val="43E45DE7"/>
    <w:rsid w:val="43E47B47"/>
    <w:rsid w:val="43E61AE6"/>
    <w:rsid w:val="43E87F71"/>
    <w:rsid w:val="43EA45F2"/>
    <w:rsid w:val="43F309FA"/>
    <w:rsid w:val="43F31CED"/>
    <w:rsid w:val="43F4753C"/>
    <w:rsid w:val="43F51022"/>
    <w:rsid w:val="43F5187F"/>
    <w:rsid w:val="43F53D68"/>
    <w:rsid w:val="43F83AE7"/>
    <w:rsid w:val="43FB21DB"/>
    <w:rsid w:val="43FF022F"/>
    <w:rsid w:val="44024225"/>
    <w:rsid w:val="44052FED"/>
    <w:rsid w:val="440725D8"/>
    <w:rsid w:val="4409462D"/>
    <w:rsid w:val="440A5161"/>
    <w:rsid w:val="440D00C1"/>
    <w:rsid w:val="441060BD"/>
    <w:rsid w:val="44112E00"/>
    <w:rsid w:val="44113CBE"/>
    <w:rsid w:val="4413380D"/>
    <w:rsid w:val="44174EF3"/>
    <w:rsid w:val="44193324"/>
    <w:rsid w:val="441A0833"/>
    <w:rsid w:val="441A7BBC"/>
    <w:rsid w:val="441F6608"/>
    <w:rsid w:val="44230E19"/>
    <w:rsid w:val="442413B5"/>
    <w:rsid w:val="4427015E"/>
    <w:rsid w:val="442A261E"/>
    <w:rsid w:val="442D1E61"/>
    <w:rsid w:val="44312675"/>
    <w:rsid w:val="44323545"/>
    <w:rsid w:val="44352818"/>
    <w:rsid w:val="4438764E"/>
    <w:rsid w:val="443904DE"/>
    <w:rsid w:val="443A4C76"/>
    <w:rsid w:val="443C754A"/>
    <w:rsid w:val="443E5543"/>
    <w:rsid w:val="443E75AC"/>
    <w:rsid w:val="444066F1"/>
    <w:rsid w:val="44415E48"/>
    <w:rsid w:val="44473381"/>
    <w:rsid w:val="444829C2"/>
    <w:rsid w:val="444B20B1"/>
    <w:rsid w:val="444C345E"/>
    <w:rsid w:val="444C4004"/>
    <w:rsid w:val="445129DF"/>
    <w:rsid w:val="44525E91"/>
    <w:rsid w:val="4458028E"/>
    <w:rsid w:val="445A23C0"/>
    <w:rsid w:val="445C43AA"/>
    <w:rsid w:val="44621302"/>
    <w:rsid w:val="44627B5D"/>
    <w:rsid w:val="44635ACE"/>
    <w:rsid w:val="44653802"/>
    <w:rsid w:val="4467588E"/>
    <w:rsid w:val="44681D44"/>
    <w:rsid w:val="44687DE3"/>
    <w:rsid w:val="446B0136"/>
    <w:rsid w:val="446B7180"/>
    <w:rsid w:val="446F12B6"/>
    <w:rsid w:val="447416E3"/>
    <w:rsid w:val="447A2E99"/>
    <w:rsid w:val="447C0BFD"/>
    <w:rsid w:val="448145B1"/>
    <w:rsid w:val="44820DB4"/>
    <w:rsid w:val="44883C53"/>
    <w:rsid w:val="44884508"/>
    <w:rsid w:val="448A195A"/>
    <w:rsid w:val="448A448D"/>
    <w:rsid w:val="448D1B90"/>
    <w:rsid w:val="448E08B5"/>
    <w:rsid w:val="448E7C80"/>
    <w:rsid w:val="448F1EC8"/>
    <w:rsid w:val="4491568C"/>
    <w:rsid w:val="44931D83"/>
    <w:rsid w:val="44951A42"/>
    <w:rsid w:val="449E57FF"/>
    <w:rsid w:val="44A21687"/>
    <w:rsid w:val="44A253C9"/>
    <w:rsid w:val="44A2725A"/>
    <w:rsid w:val="44A33398"/>
    <w:rsid w:val="44A560F6"/>
    <w:rsid w:val="44A637CB"/>
    <w:rsid w:val="44A85ED8"/>
    <w:rsid w:val="44AE4C6D"/>
    <w:rsid w:val="44B01571"/>
    <w:rsid w:val="44B21A62"/>
    <w:rsid w:val="44B27E45"/>
    <w:rsid w:val="44B65683"/>
    <w:rsid w:val="44B91E00"/>
    <w:rsid w:val="44B93EBC"/>
    <w:rsid w:val="44BD2F43"/>
    <w:rsid w:val="44BD42E2"/>
    <w:rsid w:val="44BF5ED4"/>
    <w:rsid w:val="44C125FD"/>
    <w:rsid w:val="44C438FD"/>
    <w:rsid w:val="44C47EB6"/>
    <w:rsid w:val="44C65F86"/>
    <w:rsid w:val="44CD330C"/>
    <w:rsid w:val="44CD7196"/>
    <w:rsid w:val="44CF7405"/>
    <w:rsid w:val="44D017E5"/>
    <w:rsid w:val="44D23892"/>
    <w:rsid w:val="44D6775A"/>
    <w:rsid w:val="44D92796"/>
    <w:rsid w:val="44DA11C0"/>
    <w:rsid w:val="44DC4754"/>
    <w:rsid w:val="44DD5C7D"/>
    <w:rsid w:val="44DD68A4"/>
    <w:rsid w:val="44DF7225"/>
    <w:rsid w:val="44E10630"/>
    <w:rsid w:val="44E30FA5"/>
    <w:rsid w:val="44E5504B"/>
    <w:rsid w:val="44ED7146"/>
    <w:rsid w:val="44EE300A"/>
    <w:rsid w:val="44EF62FA"/>
    <w:rsid w:val="44F26BD6"/>
    <w:rsid w:val="44F36094"/>
    <w:rsid w:val="44F50CBE"/>
    <w:rsid w:val="44F62684"/>
    <w:rsid w:val="44F66B7B"/>
    <w:rsid w:val="44F77DCB"/>
    <w:rsid w:val="44F8215E"/>
    <w:rsid w:val="44FE0B1C"/>
    <w:rsid w:val="44FE23DE"/>
    <w:rsid w:val="44FF7EB9"/>
    <w:rsid w:val="450110D0"/>
    <w:rsid w:val="45076823"/>
    <w:rsid w:val="450A0515"/>
    <w:rsid w:val="450B0111"/>
    <w:rsid w:val="450C10D4"/>
    <w:rsid w:val="450D7CD6"/>
    <w:rsid w:val="450E0997"/>
    <w:rsid w:val="45171A38"/>
    <w:rsid w:val="4518259E"/>
    <w:rsid w:val="4519791F"/>
    <w:rsid w:val="451F498B"/>
    <w:rsid w:val="452201B1"/>
    <w:rsid w:val="45225A97"/>
    <w:rsid w:val="452403EC"/>
    <w:rsid w:val="45247FBA"/>
    <w:rsid w:val="45254F83"/>
    <w:rsid w:val="45260673"/>
    <w:rsid w:val="452653BF"/>
    <w:rsid w:val="452E498F"/>
    <w:rsid w:val="45323EA0"/>
    <w:rsid w:val="45344F5E"/>
    <w:rsid w:val="453B471F"/>
    <w:rsid w:val="453B515E"/>
    <w:rsid w:val="453D6A52"/>
    <w:rsid w:val="454206FF"/>
    <w:rsid w:val="4547210B"/>
    <w:rsid w:val="454737AC"/>
    <w:rsid w:val="454A28D2"/>
    <w:rsid w:val="454C5ADF"/>
    <w:rsid w:val="454F19CC"/>
    <w:rsid w:val="45555642"/>
    <w:rsid w:val="45581A27"/>
    <w:rsid w:val="45597924"/>
    <w:rsid w:val="455B1AC9"/>
    <w:rsid w:val="455C77D9"/>
    <w:rsid w:val="455E7F8B"/>
    <w:rsid w:val="4563278E"/>
    <w:rsid w:val="45665058"/>
    <w:rsid w:val="45665B38"/>
    <w:rsid w:val="456719C9"/>
    <w:rsid w:val="456A1E39"/>
    <w:rsid w:val="456D44AA"/>
    <w:rsid w:val="456E1DCA"/>
    <w:rsid w:val="4571545A"/>
    <w:rsid w:val="4572356E"/>
    <w:rsid w:val="4572799A"/>
    <w:rsid w:val="457321BE"/>
    <w:rsid w:val="45745C7D"/>
    <w:rsid w:val="45767AAB"/>
    <w:rsid w:val="45776719"/>
    <w:rsid w:val="45790938"/>
    <w:rsid w:val="457B45A3"/>
    <w:rsid w:val="457C45F1"/>
    <w:rsid w:val="457D7473"/>
    <w:rsid w:val="457E665F"/>
    <w:rsid w:val="45815F2C"/>
    <w:rsid w:val="458262C1"/>
    <w:rsid w:val="45893CED"/>
    <w:rsid w:val="458B2E3D"/>
    <w:rsid w:val="458D14A1"/>
    <w:rsid w:val="458E1763"/>
    <w:rsid w:val="458F1918"/>
    <w:rsid w:val="458F2E37"/>
    <w:rsid w:val="459021E9"/>
    <w:rsid w:val="459166BE"/>
    <w:rsid w:val="45924A44"/>
    <w:rsid w:val="45964BF6"/>
    <w:rsid w:val="45967AEA"/>
    <w:rsid w:val="45977989"/>
    <w:rsid w:val="4599150F"/>
    <w:rsid w:val="459A5CC9"/>
    <w:rsid w:val="459D56DA"/>
    <w:rsid w:val="45A93536"/>
    <w:rsid w:val="45AB4263"/>
    <w:rsid w:val="45AD4831"/>
    <w:rsid w:val="45AF7D08"/>
    <w:rsid w:val="45B214AE"/>
    <w:rsid w:val="45B32EAC"/>
    <w:rsid w:val="45B5680B"/>
    <w:rsid w:val="45B90021"/>
    <w:rsid w:val="45BA1F14"/>
    <w:rsid w:val="45C034D6"/>
    <w:rsid w:val="45C12930"/>
    <w:rsid w:val="45C150BB"/>
    <w:rsid w:val="45C74ABD"/>
    <w:rsid w:val="45C92AD5"/>
    <w:rsid w:val="45CB6991"/>
    <w:rsid w:val="45CC65BD"/>
    <w:rsid w:val="45CD2A3D"/>
    <w:rsid w:val="45CF6F9B"/>
    <w:rsid w:val="45CF7163"/>
    <w:rsid w:val="45D049B8"/>
    <w:rsid w:val="45D10758"/>
    <w:rsid w:val="45D133B8"/>
    <w:rsid w:val="45D15B96"/>
    <w:rsid w:val="45D51771"/>
    <w:rsid w:val="45D76722"/>
    <w:rsid w:val="45D877F1"/>
    <w:rsid w:val="45DA5EDB"/>
    <w:rsid w:val="45DB11AD"/>
    <w:rsid w:val="45DD1DAC"/>
    <w:rsid w:val="45DE445C"/>
    <w:rsid w:val="45E023C0"/>
    <w:rsid w:val="45E15A4C"/>
    <w:rsid w:val="45E35712"/>
    <w:rsid w:val="45E45F96"/>
    <w:rsid w:val="45E52FD7"/>
    <w:rsid w:val="45E92D60"/>
    <w:rsid w:val="45E93D4B"/>
    <w:rsid w:val="45E9520F"/>
    <w:rsid w:val="45EB01C1"/>
    <w:rsid w:val="45ED4DAC"/>
    <w:rsid w:val="45EF35CF"/>
    <w:rsid w:val="45F0082B"/>
    <w:rsid w:val="45F43039"/>
    <w:rsid w:val="45F6720D"/>
    <w:rsid w:val="45F8688B"/>
    <w:rsid w:val="45FA33DA"/>
    <w:rsid w:val="45FD7DDD"/>
    <w:rsid w:val="4603709C"/>
    <w:rsid w:val="46054467"/>
    <w:rsid w:val="46060B73"/>
    <w:rsid w:val="460D3EE2"/>
    <w:rsid w:val="460F75EF"/>
    <w:rsid w:val="461112EB"/>
    <w:rsid w:val="461217D4"/>
    <w:rsid w:val="46154C1F"/>
    <w:rsid w:val="46175D0B"/>
    <w:rsid w:val="4618069A"/>
    <w:rsid w:val="461A38A4"/>
    <w:rsid w:val="461C225C"/>
    <w:rsid w:val="461D57D1"/>
    <w:rsid w:val="461F3266"/>
    <w:rsid w:val="46286DBD"/>
    <w:rsid w:val="46292970"/>
    <w:rsid w:val="462B1091"/>
    <w:rsid w:val="4631258A"/>
    <w:rsid w:val="46337CAE"/>
    <w:rsid w:val="46361BE7"/>
    <w:rsid w:val="46373B4D"/>
    <w:rsid w:val="463C30E9"/>
    <w:rsid w:val="463F7BB1"/>
    <w:rsid w:val="46413AC3"/>
    <w:rsid w:val="46437CB2"/>
    <w:rsid w:val="46443BDA"/>
    <w:rsid w:val="46456A22"/>
    <w:rsid w:val="46465DDC"/>
    <w:rsid w:val="46476977"/>
    <w:rsid w:val="464B2AE1"/>
    <w:rsid w:val="464D6D2A"/>
    <w:rsid w:val="4650641E"/>
    <w:rsid w:val="46516B1B"/>
    <w:rsid w:val="46547F1F"/>
    <w:rsid w:val="465510C0"/>
    <w:rsid w:val="4655228A"/>
    <w:rsid w:val="46591CBD"/>
    <w:rsid w:val="465A1908"/>
    <w:rsid w:val="465B552D"/>
    <w:rsid w:val="465D6CE3"/>
    <w:rsid w:val="46660D11"/>
    <w:rsid w:val="4666694C"/>
    <w:rsid w:val="466A5160"/>
    <w:rsid w:val="466C7885"/>
    <w:rsid w:val="466E437F"/>
    <w:rsid w:val="46703172"/>
    <w:rsid w:val="46726AB1"/>
    <w:rsid w:val="46783D05"/>
    <w:rsid w:val="467B14CE"/>
    <w:rsid w:val="46814E48"/>
    <w:rsid w:val="4682736C"/>
    <w:rsid w:val="46884C26"/>
    <w:rsid w:val="468A08E2"/>
    <w:rsid w:val="468A6909"/>
    <w:rsid w:val="468C1511"/>
    <w:rsid w:val="468C25A1"/>
    <w:rsid w:val="468E4F35"/>
    <w:rsid w:val="4690596C"/>
    <w:rsid w:val="46957652"/>
    <w:rsid w:val="46972FEB"/>
    <w:rsid w:val="46980306"/>
    <w:rsid w:val="469B7E9B"/>
    <w:rsid w:val="469C7B68"/>
    <w:rsid w:val="46A0453A"/>
    <w:rsid w:val="46A17CF3"/>
    <w:rsid w:val="46A17F09"/>
    <w:rsid w:val="46A46C6B"/>
    <w:rsid w:val="46A66BB9"/>
    <w:rsid w:val="46A90462"/>
    <w:rsid w:val="46A93256"/>
    <w:rsid w:val="46AA2553"/>
    <w:rsid w:val="46AA58A8"/>
    <w:rsid w:val="46AA72AF"/>
    <w:rsid w:val="46AC027F"/>
    <w:rsid w:val="46AD394C"/>
    <w:rsid w:val="46AD5330"/>
    <w:rsid w:val="46AE4DE8"/>
    <w:rsid w:val="46B21D31"/>
    <w:rsid w:val="46B3119C"/>
    <w:rsid w:val="46B56290"/>
    <w:rsid w:val="46B72B86"/>
    <w:rsid w:val="46B72D7E"/>
    <w:rsid w:val="46B81FE5"/>
    <w:rsid w:val="46B84CB6"/>
    <w:rsid w:val="46BB36F0"/>
    <w:rsid w:val="46BE56B3"/>
    <w:rsid w:val="46BE7031"/>
    <w:rsid w:val="46C0614F"/>
    <w:rsid w:val="46C154F9"/>
    <w:rsid w:val="46C37568"/>
    <w:rsid w:val="46C44D95"/>
    <w:rsid w:val="46C5517F"/>
    <w:rsid w:val="46CA3AA1"/>
    <w:rsid w:val="46D01B88"/>
    <w:rsid w:val="46D27FF2"/>
    <w:rsid w:val="46D34492"/>
    <w:rsid w:val="46D64215"/>
    <w:rsid w:val="46DF101C"/>
    <w:rsid w:val="46E00A1F"/>
    <w:rsid w:val="46E06BF9"/>
    <w:rsid w:val="46E83126"/>
    <w:rsid w:val="46E91AEF"/>
    <w:rsid w:val="46EB7631"/>
    <w:rsid w:val="46F0220B"/>
    <w:rsid w:val="46F11E33"/>
    <w:rsid w:val="46F137E0"/>
    <w:rsid w:val="46F14E62"/>
    <w:rsid w:val="46F21B17"/>
    <w:rsid w:val="46F330B6"/>
    <w:rsid w:val="46F36FF1"/>
    <w:rsid w:val="46F74400"/>
    <w:rsid w:val="46F80352"/>
    <w:rsid w:val="46F910C6"/>
    <w:rsid w:val="46F924CC"/>
    <w:rsid w:val="46F94154"/>
    <w:rsid w:val="46FA2F02"/>
    <w:rsid w:val="46FA4D21"/>
    <w:rsid w:val="46FC507A"/>
    <w:rsid w:val="46FE0270"/>
    <w:rsid w:val="46FF6B24"/>
    <w:rsid w:val="470145D3"/>
    <w:rsid w:val="47020431"/>
    <w:rsid w:val="470262A2"/>
    <w:rsid w:val="4705479F"/>
    <w:rsid w:val="470802AE"/>
    <w:rsid w:val="47083DA4"/>
    <w:rsid w:val="47092020"/>
    <w:rsid w:val="47096C06"/>
    <w:rsid w:val="470A3684"/>
    <w:rsid w:val="470D6747"/>
    <w:rsid w:val="47103C27"/>
    <w:rsid w:val="47180CCF"/>
    <w:rsid w:val="471877FC"/>
    <w:rsid w:val="471910CF"/>
    <w:rsid w:val="471B3B5D"/>
    <w:rsid w:val="471C21B8"/>
    <w:rsid w:val="471D1356"/>
    <w:rsid w:val="471E7DE0"/>
    <w:rsid w:val="47202417"/>
    <w:rsid w:val="472534CA"/>
    <w:rsid w:val="47281C88"/>
    <w:rsid w:val="472A767A"/>
    <w:rsid w:val="472C0E1F"/>
    <w:rsid w:val="472C56D3"/>
    <w:rsid w:val="472E7CEB"/>
    <w:rsid w:val="47303839"/>
    <w:rsid w:val="473159DC"/>
    <w:rsid w:val="47334748"/>
    <w:rsid w:val="47352184"/>
    <w:rsid w:val="4735472B"/>
    <w:rsid w:val="47380432"/>
    <w:rsid w:val="4738281A"/>
    <w:rsid w:val="4738446A"/>
    <w:rsid w:val="473A26EF"/>
    <w:rsid w:val="473A3B39"/>
    <w:rsid w:val="47401B7B"/>
    <w:rsid w:val="47423CB6"/>
    <w:rsid w:val="4742526B"/>
    <w:rsid w:val="474348C3"/>
    <w:rsid w:val="474609F0"/>
    <w:rsid w:val="47482370"/>
    <w:rsid w:val="474957C3"/>
    <w:rsid w:val="474B099E"/>
    <w:rsid w:val="474C7850"/>
    <w:rsid w:val="474E13C3"/>
    <w:rsid w:val="474E3F2F"/>
    <w:rsid w:val="474E5C4F"/>
    <w:rsid w:val="475042EA"/>
    <w:rsid w:val="47544F26"/>
    <w:rsid w:val="47547B32"/>
    <w:rsid w:val="475727B2"/>
    <w:rsid w:val="47580E41"/>
    <w:rsid w:val="4758516D"/>
    <w:rsid w:val="475A0B2B"/>
    <w:rsid w:val="475B4413"/>
    <w:rsid w:val="475B5160"/>
    <w:rsid w:val="475B5455"/>
    <w:rsid w:val="475C189C"/>
    <w:rsid w:val="475E4ECD"/>
    <w:rsid w:val="476167CC"/>
    <w:rsid w:val="47624765"/>
    <w:rsid w:val="47666D09"/>
    <w:rsid w:val="476C27E8"/>
    <w:rsid w:val="476C7CBE"/>
    <w:rsid w:val="476F0812"/>
    <w:rsid w:val="47746F48"/>
    <w:rsid w:val="47763A7D"/>
    <w:rsid w:val="47772C6F"/>
    <w:rsid w:val="47793F8D"/>
    <w:rsid w:val="4779722F"/>
    <w:rsid w:val="477A683E"/>
    <w:rsid w:val="477D065F"/>
    <w:rsid w:val="477D56A8"/>
    <w:rsid w:val="477D64E0"/>
    <w:rsid w:val="477D6F3F"/>
    <w:rsid w:val="477E5FDB"/>
    <w:rsid w:val="47821425"/>
    <w:rsid w:val="4782474B"/>
    <w:rsid w:val="47897F0D"/>
    <w:rsid w:val="479445DC"/>
    <w:rsid w:val="479A3E6C"/>
    <w:rsid w:val="479C2A86"/>
    <w:rsid w:val="479C4722"/>
    <w:rsid w:val="479C4958"/>
    <w:rsid w:val="479C5082"/>
    <w:rsid w:val="479D0D0D"/>
    <w:rsid w:val="479D10AE"/>
    <w:rsid w:val="47A56C8B"/>
    <w:rsid w:val="47A62ACB"/>
    <w:rsid w:val="47A720E1"/>
    <w:rsid w:val="47A76D82"/>
    <w:rsid w:val="47A9122E"/>
    <w:rsid w:val="47B25F8D"/>
    <w:rsid w:val="47B43647"/>
    <w:rsid w:val="47B704CC"/>
    <w:rsid w:val="47BF4B4F"/>
    <w:rsid w:val="47BF5860"/>
    <w:rsid w:val="47C73EFD"/>
    <w:rsid w:val="47CB0EDF"/>
    <w:rsid w:val="47CB4FB3"/>
    <w:rsid w:val="47CB7403"/>
    <w:rsid w:val="47D606D9"/>
    <w:rsid w:val="47D757F4"/>
    <w:rsid w:val="47DA6F62"/>
    <w:rsid w:val="47DD4618"/>
    <w:rsid w:val="47DE54BD"/>
    <w:rsid w:val="47DF3B33"/>
    <w:rsid w:val="47E15B39"/>
    <w:rsid w:val="47E3543C"/>
    <w:rsid w:val="47E36ED7"/>
    <w:rsid w:val="47E9210B"/>
    <w:rsid w:val="47EA160C"/>
    <w:rsid w:val="47EA7420"/>
    <w:rsid w:val="47EB00D1"/>
    <w:rsid w:val="47EB3DAF"/>
    <w:rsid w:val="47ED2F56"/>
    <w:rsid w:val="47F06745"/>
    <w:rsid w:val="47F16B18"/>
    <w:rsid w:val="47F2741E"/>
    <w:rsid w:val="47F37F70"/>
    <w:rsid w:val="47F75D17"/>
    <w:rsid w:val="47FC70A2"/>
    <w:rsid w:val="47FD4C6F"/>
    <w:rsid w:val="48002916"/>
    <w:rsid w:val="48003A9E"/>
    <w:rsid w:val="48020112"/>
    <w:rsid w:val="4803581B"/>
    <w:rsid w:val="48037FD7"/>
    <w:rsid w:val="48044D0A"/>
    <w:rsid w:val="480469F7"/>
    <w:rsid w:val="48046F52"/>
    <w:rsid w:val="48051DF6"/>
    <w:rsid w:val="480528A1"/>
    <w:rsid w:val="480725CC"/>
    <w:rsid w:val="480A39F8"/>
    <w:rsid w:val="480A466D"/>
    <w:rsid w:val="480C139B"/>
    <w:rsid w:val="480E38AD"/>
    <w:rsid w:val="48104ED3"/>
    <w:rsid w:val="48117DA2"/>
    <w:rsid w:val="48177F72"/>
    <w:rsid w:val="481832D1"/>
    <w:rsid w:val="481A7BFF"/>
    <w:rsid w:val="481C4225"/>
    <w:rsid w:val="481F117B"/>
    <w:rsid w:val="4820741D"/>
    <w:rsid w:val="48234627"/>
    <w:rsid w:val="482351E9"/>
    <w:rsid w:val="48241D49"/>
    <w:rsid w:val="48297982"/>
    <w:rsid w:val="482F3681"/>
    <w:rsid w:val="482F40BE"/>
    <w:rsid w:val="482F5EC7"/>
    <w:rsid w:val="48304228"/>
    <w:rsid w:val="483105A2"/>
    <w:rsid w:val="483158C2"/>
    <w:rsid w:val="48360546"/>
    <w:rsid w:val="483B1CEA"/>
    <w:rsid w:val="483C70AD"/>
    <w:rsid w:val="483D5CA6"/>
    <w:rsid w:val="4840228F"/>
    <w:rsid w:val="484173B3"/>
    <w:rsid w:val="48425D06"/>
    <w:rsid w:val="48437BB9"/>
    <w:rsid w:val="4845540B"/>
    <w:rsid w:val="48484876"/>
    <w:rsid w:val="48494CDF"/>
    <w:rsid w:val="48497ACA"/>
    <w:rsid w:val="484A7297"/>
    <w:rsid w:val="484F3556"/>
    <w:rsid w:val="48522D6F"/>
    <w:rsid w:val="4854657A"/>
    <w:rsid w:val="4856057F"/>
    <w:rsid w:val="485E4BB8"/>
    <w:rsid w:val="485E5945"/>
    <w:rsid w:val="485F6294"/>
    <w:rsid w:val="48602A4B"/>
    <w:rsid w:val="48617424"/>
    <w:rsid w:val="48630122"/>
    <w:rsid w:val="48635E87"/>
    <w:rsid w:val="48655D54"/>
    <w:rsid w:val="48660F7C"/>
    <w:rsid w:val="486C2D09"/>
    <w:rsid w:val="486C6BAD"/>
    <w:rsid w:val="486F7D15"/>
    <w:rsid w:val="48724A62"/>
    <w:rsid w:val="48730B39"/>
    <w:rsid w:val="48743B93"/>
    <w:rsid w:val="487639FD"/>
    <w:rsid w:val="48764FD8"/>
    <w:rsid w:val="48793F19"/>
    <w:rsid w:val="48795BB6"/>
    <w:rsid w:val="487A0734"/>
    <w:rsid w:val="487A7D87"/>
    <w:rsid w:val="487D1A9B"/>
    <w:rsid w:val="48804CAF"/>
    <w:rsid w:val="48832082"/>
    <w:rsid w:val="48861CD0"/>
    <w:rsid w:val="48893BF2"/>
    <w:rsid w:val="488D1F17"/>
    <w:rsid w:val="488D7D1E"/>
    <w:rsid w:val="488F2A4A"/>
    <w:rsid w:val="48905F56"/>
    <w:rsid w:val="48916578"/>
    <w:rsid w:val="4892664E"/>
    <w:rsid w:val="48976212"/>
    <w:rsid w:val="48976FCC"/>
    <w:rsid w:val="489A0E2E"/>
    <w:rsid w:val="489A322D"/>
    <w:rsid w:val="489D463E"/>
    <w:rsid w:val="489E622A"/>
    <w:rsid w:val="489F0F1F"/>
    <w:rsid w:val="48A03DD0"/>
    <w:rsid w:val="48A17840"/>
    <w:rsid w:val="48A57B7D"/>
    <w:rsid w:val="48A75B74"/>
    <w:rsid w:val="48A902D9"/>
    <w:rsid w:val="48AC1A23"/>
    <w:rsid w:val="48AD4A24"/>
    <w:rsid w:val="48AE1EC6"/>
    <w:rsid w:val="48AE5072"/>
    <w:rsid w:val="48B06951"/>
    <w:rsid w:val="48B44E7E"/>
    <w:rsid w:val="48B45608"/>
    <w:rsid w:val="48B81F7F"/>
    <w:rsid w:val="48BB5652"/>
    <w:rsid w:val="48BC67C9"/>
    <w:rsid w:val="48BC7B90"/>
    <w:rsid w:val="48BE739A"/>
    <w:rsid w:val="48BE74CC"/>
    <w:rsid w:val="48BF0EE7"/>
    <w:rsid w:val="48C1387C"/>
    <w:rsid w:val="48C267D5"/>
    <w:rsid w:val="48C3130D"/>
    <w:rsid w:val="48C63A5A"/>
    <w:rsid w:val="48C85617"/>
    <w:rsid w:val="48C91271"/>
    <w:rsid w:val="48C93BFF"/>
    <w:rsid w:val="48CC138F"/>
    <w:rsid w:val="48D0364D"/>
    <w:rsid w:val="48D24D96"/>
    <w:rsid w:val="48D75263"/>
    <w:rsid w:val="48D83274"/>
    <w:rsid w:val="48D84B9E"/>
    <w:rsid w:val="48DA40AD"/>
    <w:rsid w:val="48DB1569"/>
    <w:rsid w:val="48DD082A"/>
    <w:rsid w:val="48DE56A6"/>
    <w:rsid w:val="48E05B7C"/>
    <w:rsid w:val="48E16C54"/>
    <w:rsid w:val="48E50D3D"/>
    <w:rsid w:val="48E6243C"/>
    <w:rsid w:val="48E66836"/>
    <w:rsid w:val="48E70BB0"/>
    <w:rsid w:val="48EA2B36"/>
    <w:rsid w:val="48EA4A33"/>
    <w:rsid w:val="48EB6A64"/>
    <w:rsid w:val="48ED1DAB"/>
    <w:rsid w:val="48F04722"/>
    <w:rsid w:val="48F04C3E"/>
    <w:rsid w:val="48F16D5A"/>
    <w:rsid w:val="48F3094D"/>
    <w:rsid w:val="48F3570E"/>
    <w:rsid w:val="48F87A45"/>
    <w:rsid w:val="48FA208F"/>
    <w:rsid w:val="48FA6C5B"/>
    <w:rsid w:val="48FB367C"/>
    <w:rsid w:val="48FF413D"/>
    <w:rsid w:val="49021A80"/>
    <w:rsid w:val="490478A0"/>
    <w:rsid w:val="49052A75"/>
    <w:rsid w:val="4905373D"/>
    <w:rsid w:val="49063D76"/>
    <w:rsid w:val="49075B4D"/>
    <w:rsid w:val="49090232"/>
    <w:rsid w:val="49094C0B"/>
    <w:rsid w:val="49097FB1"/>
    <w:rsid w:val="490A72ED"/>
    <w:rsid w:val="490B1953"/>
    <w:rsid w:val="49101AD1"/>
    <w:rsid w:val="491455FB"/>
    <w:rsid w:val="491660AE"/>
    <w:rsid w:val="492055D2"/>
    <w:rsid w:val="4922478B"/>
    <w:rsid w:val="49237ABC"/>
    <w:rsid w:val="4925757F"/>
    <w:rsid w:val="4926119C"/>
    <w:rsid w:val="492658B4"/>
    <w:rsid w:val="49271540"/>
    <w:rsid w:val="492751C4"/>
    <w:rsid w:val="492A22BD"/>
    <w:rsid w:val="492C2006"/>
    <w:rsid w:val="492D527B"/>
    <w:rsid w:val="492F74BC"/>
    <w:rsid w:val="493118E8"/>
    <w:rsid w:val="49314A07"/>
    <w:rsid w:val="4933135E"/>
    <w:rsid w:val="49341812"/>
    <w:rsid w:val="49386B2F"/>
    <w:rsid w:val="493950AE"/>
    <w:rsid w:val="493A2AC9"/>
    <w:rsid w:val="493D707E"/>
    <w:rsid w:val="493F1C28"/>
    <w:rsid w:val="493F6400"/>
    <w:rsid w:val="4942543F"/>
    <w:rsid w:val="49441E25"/>
    <w:rsid w:val="49460A20"/>
    <w:rsid w:val="49467BDB"/>
    <w:rsid w:val="494A69B1"/>
    <w:rsid w:val="494C15FC"/>
    <w:rsid w:val="49501CEA"/>
    <w:rsid w:val="4950471E"/>
    <w:rsid w:val="49512B7F"/>
    <w:rsid w:val="495202F8"/>
    <w:rsid w:val="49523EEF"/>
    <w:rsid w:val="49542DC0"/>
    <w:rsid w:val="49544359"/>
    <w:rsid w:val="49547C75"/>
    <w:rsid w:val="49552101"/>
    <w:rsid w:val="49576C83"/>
    <w:rsid w:val="49583221"/>
    <w:rsid w:val="49596B13"/>
    <w:rsid w:val="495C4509"/>
    <w:rsid w:val="495E4546"/>
    <w:rsid w:val="495E5203"/>
    <w:rsid w:val="495F002B"/>
    <w:rsid w:val="49605F41"/>
    <w:rsid w:val="49607DEA"/>
    <w:rsid w:val="49621E4A"/>
    <w:rsid w:val="496304B4"/>
    <w:rsid w:val="49640597"/>
    <w:rsid w:val="49642664"/>
    <w:rsid w:val="49660C21"/>
    <w:rsid w:val="496C5C53"/>
    <w:rsid w:val="496D396C"/>
    <w:rsid w:val="496F02B8"/>
    <w:rsid w:val="49731856"/>
    <w:rsid w:val="49733C40"/>
    <w:rsid w:val="497460F0"/>
    <w:rsid w:val="497F7D06"/>
    <w:rsid w:val="498104A0"/>
    <w:rsid w:val="49820BB0"/>
    <w:rsid w:val="49843A5E"/>
    <w:rsid w:val="498440B4"/>
    <w:rsid w:val="49860E3C"/>
    <w:rsid w:val="49892736"/>
    <w:rsid w:val="498D7244"/>
    <w:rsid w:val="499000FC"/>
    <w:rsid w:val="499033CE"/>
    <w:rsid w:val="49906CED"/>
    <w:rsid w:val="49915D2E"/>
    <w:rsid w:val="49915D91"/>
    <w:rsid w:val="49926CF3"/>
    <w:rsid w:val="49934163"/>
    <w:rsid w:val="4997368A"/>
    <w:rsid w:val="49976A41"/>
    <w:rsid w:val="49993837"/>
    <w:rsid w:val="499A3569"/>
    <w:rsid w:val="499B539A"/>
    <w:rsid w:val="499D1C4F"/>
    <w:rsid w:val="49A10270"/>
    <w:rsid w:val="49A350AD"/>
    <w:rsid w:val="49A3797D"/>
    <w:rsid w:val="49A730BC"/>
    <w:rsid w:val="49A76C0C"/>
    <w:rsid w:val="49A871E0"/>
    <w:rsid w:val="49AB632D"/>
    <w:rsid w:val="49AD737E"/>
    <w:rsid w:val="49AE3C69"/>
    <w:rsid w:val="49B02DFD"/>
    <w:rsid w:val="49B23C82"/>
    <w:rsid w:val="49B317DF"/>
    <w:rsid w:val="49B367F2"/>
    <w:rsid w:val="49B4131C"/>
    <w:rsid w:val="49BA3242"/>
    <w:rsid w:val="49BF27CF"/>
    <w:rsid w:val="49C243FD"/>
    <w:rsid w:val="49C94677"/>
    <w:rsid w:val="49CA50A0"/>
    <w:rsid w:val="49CD18D6"/>
    <w:rsid w:val="49CD19D0"/>
    <w:rsid w:val="49CE1C2F"/>
    <w:rsid w:val="49D02479"/>
    <w:rsid w:val="49D4002D"/>
    <w:rsid w:val="49D474C4"/>
    <w:rsid w:val="49D51E86"/>
    <w:rsid w:val="49D61EEE"/>
    <w:rsid w:val="49D7062A"/>
    <w:rsid w:val="49D805A3"/>
    <w:rsid w:val="49D80B2D"/>
    <w:rsid w:val="49D8533D"/>
    <w:rsid w:val="49D91B8A"/>
    <w:rsid w:val="49DC0455"/>
    <w:rsid w:val="49E11440"/>
    <w:rsid w:val="49E41FB3"/>
    <w:rsid w:val="49E44C2D"/>
    <w:rsid w:val="49E57CEE"/>
    <w:rsid w:val="49E96681"/>
    <w:rsid w:val="49EB465E"/>
    <w:rsid w:val="49F014FA"/>
    <w:rsid w:val="49F311D4"/>
    <w:rsid w:val="49F54711"/>
    <w:rsid w:val="49F609D0"/>
    <w:rsid w:val="49F7713A"/>
    <w:rsid w:val="49F84E2E"/>
    <w:rsid w:val="49F91FBD"/>
    <w:rsid w:val="49F93270"/>
    <w:rsid w:val="49FA750A"/>
    <w:rsid w:val="49FC5BF9"/>
    <w:rsid w:val="49FF7673"/>
    <w:rsid w:val="4A004FBE"/>
    <w:rsid w:val="4A02470E"/>
    <w:rsid w:val="4A025B9C"/>
    <w:rsid w:val="4A072E41"/>
    <w:rsid w:val="4A0906AB"/>
    <w:rsid w:val="4A0B2696"/>
    <w:rsid w:val="4A0B38B8"/>
    <w:rsid w:val="4A0D504D"/>
    <w:rsid w:val="4A10130D"/>
    <w:rsid w:val="4A110162"/>
    <w:rsid w:val="4A125668"/>
    <w:rsid w:val="4A162BC1"/>
    <w:rsid w:val="4A175CBA"/>
    <w:rsid w:val="4A1B4B38"/>
    <w:rsid w:val="4A1D1AF4"/>
    <w:rsid w:val="4A1D3FAD"/>
    <w:rsid w:val="4A20204A"/>
    <w:rsid w:val="4A260DDF"/>
    <w:rsid w:val="4A262A6D"/>
    <w:rsid w:val="4A2B3C38"/>
    <w:rsid w:val="4A2C75EA"/>
    <w:rsid w:val="4A3054F0"/>
    <w:rsid w:val="4A36251C"/>
    <w:rsid w:val="4A381B68"/>
    <w:rsid w:val="4A3C0D7E"/>
    <w:rsid w:val="4A3D61A5"/>
    <w:rsid w:val="4A3E2908"/>
    <w:rsid w:val="4A3E6457"/>
    <w:rsid w:val="4A402829"/>
    <w:rsid w:val="4A42330D"/>
    <w:rsid w:val="4A425B42"/>
    <w:rsid w:val="4A4407A7"/>
    <w:rsid w:val="4A456B78"/>
    <w:rsid w:val="4A4615C6"/>
    <w:rsid w:val="4A4658F3"/>
    <w:rsid w:val="4A4808BB"/>
    <w:rsid w:val="4A4B68ED"/>
    <w:rsid w:val="4A50708D"/>
    <w:rsid w:val="4A510CDE"/>
    <w:rsid w:val="4A523A74"/>
    <w:rsid w:val="4A542144"/>
    <w:rsid w:val="4A55652B"/>
    <w:rsid w:val="4A572016"/>
    <w:rsid w:val="4A5740AF"/>
    <w:rsid w:val="4A582D5E"/>
    <w:rsid w:val="4A5A4896"/>
    <w:rsid w:val="4A5B13CC"/>
    <w:rsid w:val="4A5C6871"/>
    <w:rsid w:val="4A5D195B"/>
    <w:rsid w:val="4A5D1C3B"/>
    <w:rsid w:val="4A5E7DA4"/>
    <w:rsid w:val="4A5F30A8"/>
    <w:rsid w:val="4A5F3E48"/>
    <w:rsid w:val="4A6029A8"/>
    <w:rsid w:val="4A616FE6"/>
    <w:rsid w:val="4A641DB7"/>
    <w:rsid w:val="4A650080"/>
    <w:rsid w:val="4A653D17"/>
    <w:rsid w:val="4A65598A"/>
    <w:rsid w:val="4A6954BC"/>
    <w:rsid w:val="4A6D3F6D"/>
    <w:rsid w:val="4A703007"/>
    <w:rsid w:val="4A723058"/>
    <w:rsid w:val="4A76443A"/>
    <w:rsid w:val="4A78644F"/>
    <w:rsid w:val="4A790FB7"/>
    <w:rsid w:val="4A7A11ED"/>
    <w:rsid w:val="4A7A3FFE"/>
    <w:rsid w:val="4A7B4B44"/>
    <w:rsid w:val="4A7C0F73"/>
    <w:rsid w:val="4A7F6504"/>
    <w:rsid w:val="4A807306"/>
    <w:rsid w:val="4A8138AB"/>
    <w:rsid w:val="4A8154E2"/>
    <w:rsid w:val="4A823954"/>
    <w:rsid w:val="4A8662ED"/>
    <w:rsid w:val="4A8A4417"/>
    <w:rsid w:val="4A8A51E7"/>
    <w:rsid w:val="4A8C7642"/>
    <w:rsid w:val="4A8D2DCD"/>
    <w:rsid w:val="4A8D7E8E"/>
    <w:rsid w:val="4A8F10CE"/>
    <w:rsid w:val="4A8F15DF"/>
    <w:rsid w:val="4A8F3D75"/>
    <w:rsid w:val="4A8F7641"/>
    <w:rsid w:val="4A900A27"/>
    <w:rsid w:val="4A923CCD"/>
    <w:rsid w:val="4A946048"/>
    <w:rsid w:val="4A9B1AA7"/>
    <w:rsid w:val="4A9E2651"/>
    <w:rsid w:val="4AA03BF9"/>
    <w:rsid w:val="4AA344C3"/>
    <w:rsid w:val="4AA34FD5"/>
    <w:rsid w:val="4AA43B38"/>
    <w:rsid w:val="4AA82E58"/>
    <w:rsid w:val="4AAC1E4B"/>
    <w:rsid w:val="4AAE190D"/>
    <w:rsid w:val="4AAE2E66"/>
    <w:rsid w:val="4AAE78E0"/>
    <w:rsid w:val="4AAF17FA"/>
    <w:rsid w:val="4AB71F29"/>
    <w:rsid w:val="4AB71F79"/>
    <w:rsid w:val="4ABC4093"/>
    <w:rsid w:val="4ABC7844"/>
    <w:rsid w:val="4AC40BA8"/>
    <w:rsid w:val="4AC439A9"/>
    <w:rsid w:val="4AC536E0"/>
    <w:rsid w:val="4AC63333"/>
    <w:rsid w:val="4AC810B1"/>
    <w:rsid w:val="4AC96423"/>
    <w:rsid w:val="4ACA2298"/>
    <w:rsid w:val="4ACD5DE0"/>
    <w:rsid w:val="4ACE1E12"/>
    <w:rsid w:val="4ACF0AF8"/>
    <w:rsid w:val="4ACF16A2"/>
    <w:rsid w:val="4AD01FF5"/>
    <w:rsid w:val="4AD02D99"/>
    <w:rsid w:val="4AD06973"/>
    <w:rsid w:val="4AD4632A"/>
    <w:rsid w:val="4AD61D9D"/>
    <w:rsid w:val="4ADA4589"/>
    <w:rsid w:val="4ADB2980"/>
    <w:rsid w:val="4AE01DCD"/>
    <w:rsid w:val="4AE963BE"/>
    <w:rsid w:val="4AEB2531"/>
    <w:rsid w:val="4AEB283B"/>
    <w:rsid w:val="4AEB5AA9"/>
    <w:rsid w:val="4AEB687A"/>
    <w:rsid w:val="4AEE4F4A"/>
    <w:rsid w:val="4AEE5D59"/>
    <w:rsid w:val="4AEF1726"/>
    <w:rsid w:val="4AF037BB"/>
    <w:rsid w:val="4AF15160"/>
    <w:rsid w:val="4AF171E3"/>
    <w:rsid w:val="4AF1765D"/>
    <w:rsid w:val="4AF37563"/>
    <w:rsid w:val="4AF442F7"/>
    <w:rsid w:val="4AF456E0"/>
    <w:rsid w:val="4AF51E60"/>
    <w:rsid w:val="4AFC25BA"/>
    <w:rsid w:val="4AFD00A1"/>
    <w:rsid w:val="4AFF2F15"/>
    <w:rsid w:val="4AFF52C5"/>
    <w:rsid w:val="4B0021C8"/>
    <w:rsid w:val="4B003F9E"/>
    <w:rsid w:val="4B017DD9"/>
    <w:rsid w:val="4B024459"/>
    <w:rsid w:val="4B0362D5"/>
    <w:rsid w:val="4B05166F"/>
    <w:rsid w:val="4B0A3895"/>
    <w:rsid w:val="4B0C1605"/>
    <w:rsid w:val="4B0E47C4"/>
    <w:rsid w:val="4B120063"/>
    <w:rsid w:val="4B1578CC"/>
    <w:rsid w:val="4B15791E"/>
    <w:rsid w:val="4B2306C3"/>
    <w:rsid w:val="4B254B17"/>
    <w:rsid w:val="4B25526C"/>
    <w:rsid w:val="4B2802E9"/>
    <w:rsid w:val="4B281757"/>
    <w:rsid w:val="4B2B0132"/>
    <w:rsid w:val="4B310757"/>
    <w:rsid w:val="4B315412"/>
    <w:rsid w:val="4B335C8C"/>
    <w:rsid w:val="4B356632"/>
    <w:rsid w:val="4B3624B0"/>
    <w:rsid w:val="4B3F1A5C"/>
    <w:rsid w:val="4B4437DC"/>
    <w:rsid w:val="4B452F6D"/>
    <w:rsid w:val="4B48201F"/>
    <w:rsid w:val="4B4D0706"/>
    <w:rsid w:val="4B4E0A15"/>
    <w:rsid w:val="4B4E0F27"/>
    <w:rsid w:val="4B4F330E"/>
    <w:rsid w:val="4B523EA7"/>
    <w:rsid w:val="4B572CAA"/>
    <w:rsid w:val="4B574C96"/>
    <w:rsid w:val="4B5A3BE2"/>
    <w:rsid w:val="4B68581F"/>
    <w:rsid w:val="4B6B404B"/>
    <w:rsid w:val="4B6E4605"/>
    <w:rsid w:val="4B702211"/>
    <w:rsid w:val="4B704823"/>
    <w:rsid w:val="4B7147D5"/>
    <w:rsid w:val="4B7402DD"/>
    <w:rsid w:val="4B74286D"/>
    <w:rsid w:val="4B7B3955"/>
    <w:rsid w:val="4B7F2575"/>
    <w:rsid w:val="4B810E85"/>
    <w:rsid w:val="4B824615"/>
    <w:rsid w:val="4B846F28"/>
    <w:rsid w:val="4B8624E9"/>
    <w:rsid w:val="4B8627DA"/>
    <w:rsid w:val="4B875C1C"/>
    <w:rsid w:val="4B881B40"/>
    <w:rsid w:val="4B8B554C"/>
    <w:rsid w:val="4B8E5C71"/>
    <w:rsid w:val="4B923AE8"/>
    <w:rsid w:val="4B963CD5"/>
    <w:rsid w:val="4B966F26"/>
    <w:rsid w:val="4B975014"/>
    <w:rsid w:val="4B9A4607"/>
    <w:rsid w:val="4B9C5716"/>
    <w:rsid w:val="4B9C77A3"/>
    <w:rsid w:val="4B9F36A3"/>
    <w:rsid w:val="4BA23805"/>
    <w:rsid w:val="4BA264F6"/>
    <w:rsid w:val="4BA62ED4"/>
    <w:rsid w:val="4BA6405F"/>
    <w:rsid w:val="4BA736A7"/>
    <w:rsid w:val="4BA94D3A"/>
    <w:rsid w:val="4BA97C84"/>
    <w:rsid w:val="4BAB2313"/>
    <w:rsid w:val="4BAC1FA7"/>
    <w:rsid w:val="4BAC4F2F"/>
    <w:rsid w:val="4BAD23DC"/>
    <w:rsid w:val="4BB55CD9"/>
    <w:rsid w:val="4BB73CD5"/>
    <w:rsid w:val="4BBA1A9D"/>
    <w:rsid w:val="4BBA72D5"/>
    <w:rsid w:val="4BBE01BA"/>
    <w:rsid w:val="4BBE3309"/>
    <w:rsid w:val="4BBE4603"/>
    <w:rsid w:val="4BBF0B9E"/>
    <w:rsid w:val="4BBF6630"/>
    <w:rsid w:val="4BC25D05"/>
    <w:rsid w:val="4BC31996"/>
    <w:rsid w:val="4BC331F0"/>
    <w:rsid w:val="4BC46820"/>
    <w:rsid w:val="4BC62CE5"/>
    <w:rsid w:val="4BC83025"/>
    <w:rsid w:val="4BC8325A"/>
    <w:rsid w:val="4BCA73F7"/>
    <w:rsid w:val="4BCC418F"/>
    <w:rsid w:val="4BCC637F"/>
    <w:rsid w:val="4BCD554A"/>
    <w:rsid w:val="4BCD59BF"/>
    <w:rsid w:val="4BD46ACC"/>
    <w:rsid w:val="4BD76825"/>
    <w:rsid w:val="4BDA6A43"/>
    <w:rsid w:val="4BDE3D5E"/>
    <w:rsid w:val="4BE02D73"/>
    <w:rsid w:val="4BE31972"/>
    <w:rsid w:val="4BE7295F"/>
    <w:rsid w:val="4BE820EB"/>
    <w:rsid w:val="4BEB20CF"/>
    <w:rsid w:val="4BEB6EDE"/>
    <w:rsid w:val="4BEC2B58"/>
    <w:rsid w:val="4BEE1E39"/>
    <w:rsid w:val="4BF034F3"/>
    <w:rsid w:val="4BF467C6"/>
    <w:rsid w:val="4BFC6CD0"/>
    <w:rsid w:val="4BFE6D97"/>
    <w:rsid w:val="4C003EC1"/>
    <w:rsid w:val="4C014F83"/>
    <w:rsid w:val="4C016582"/>
    <w:rsid w:val="4C052FB5"/>
    <w:rsid w:val="4C06196F"/>
    <w:rsid w:val="4C0A44B1"/>
    <w:rsid w:val="4C0D5583"/>
    <w:rsid w:val="4C0D565B"/>
    <w:rsid w:val="4C100007"/>
    <w:rsid w:val="4C167354"/>
    <w:rsid w:val="4C1737AB"/>
    <w:rsid w:val="4C195D31"/>
    <w:rsid w:val="4C1A4427"/>
    <w:rsid w:val="4C1E6FC3"/>
    <w:rsid w:val="4C1F6742"/>
    <w:rsid w:val="4C245F7A"/>
    <w:rsid w:val="4C275461"/>
    <w:rsid w:val="4C286304"/>
    <w:rsid w:val="4C2E770C"/>
    <w:rsid w:val="4C345F97"/>
    <w:rsid w:val="4C3619B4"/>
    <w:rsid w:val="4C37700A"/>
    <w:rsid w:val="4C392432"/>
    <w:rsid w:val="4C392CA0"/>
    <w:rsid w:val="4C3A218D"/>
    <w:rsid w:val="4C3B1010"/>
    <w:rsid w:val="4C3C3C81"/>
    <w:rsid w:val="4C3C56C3"/>
    <w:rsid w:val="4C3D438D"/>
    <w:rsid w:val="4C3D5857"/>
    <w:rsid w:val="4C43521A"/>
    <w:rsid w:val="4C4440D4"/>
    <w:rsid w:val="4C460E46"/>
    <w:rsid w:val="4C461833"/>
    <w:rsid w:val="4C4B43F3"/>
    <w:rsid w:val="4C4C1286"/>
    <w:rsid w:val="4C500401"/>
    <w:rsid w:val="4C5315C2"/>
    <w:rsid w:val="4C537BF2"/>
    <w:rsid w:val="4C537F66"/>
    <w:rsid w:val="4C542C37"/>
    <w:rsid w:val="4C56063F"/>
    <w:rsid w:val="4C5844A5"/>
    <w:rsid w:val="4C5A0E38"/>
    <w:rsid w:val="4C5A664E"/>
    <w:rsid w:val="4C5B4759"/>
    <w:rsid w:val="4C5F2F9C"/>
    <w:rsid w:val="4C6148ED"/>
    <w:rsid w:val="4C647207"/>
    <w:rsid w:val="4C692023"/>
    <w:rsid w:val="4C69296B"/>
    <w:rsid w:val="4C6943F5"/>
    <w:rsid w:val="4C6A26A2"/>
    <w:rsid w:val="4C6B2428"/>
    <w:rsid w:val="4C6B62B2"/>
    <w:rsid w:val="4C6D1C4B"/>
    <w:rsid w:val="4C6E1263"/>
    <w:rsid w:val="4C73016D"/>
    <w:rsid w:val="4C744EDE"/>
    <w:rsid w:val="4C7D3526"/>
    <w:rsid w:val="4C831B92"/>
    <w:rsid w:val="4C870BA3"/>
    <w:rsid w:val="4C8747C1"/>
    <w:rsid w:val="4C881C52"/>
    <w:rsid w:val="4C8A0491"/>
    <w:rsid w:val="4C8A2068"/>
    <w:rsid w:val="4C8F4190"/>
    <w:rsid w:val="4C8F7E59"/>
    <w:rsid w:val="4C905C0E"/>
    <w:rsid w:val="4C94497D"/>
    <w:rsid w:val="4C946469"/>
    <w:rsid w:val="4CA03DCE"/>
    <w:rsid w:val="4CA37129"/>
    <w:rsid w:val="4CA87A25"/>
    <w:rsid w:val="4CA91C7A"/>
    <w:rsid w:val="4CA9267E"/>
    <w:rsid w:val="4CAA1B89"/>
    <w:rsid w:val="4CAE3DC5"/>
    <w:rsid w:val="4CAE4858"/>
    <w:rsid w:val="4CAF35E8"/>
    <w:rsid w:val="4CAF648F"/>
    <w:rsid w:val="4CB22CCC"/>
    <w:rsid w:val="4CB27B45"/>
    <w:rsid w:val="4CB91193"/>
    <w:rsid w:val="4CBC595D"/>
    <w:rsid w:val="4CBE30CF"/>
    <w:rsid w:val="4CC12EC2"/>
    <w:rsid w:val="4CC1456A"/>
    <w:rsid w:val="4CC16E2D"/>
    <w:rsid w:val="4CC37086"/>
    <w:rsid w:val="4CC422C4"/>
    <w:rsid w:val="4CC44B5B"/>
    <w:rsid w:val="4CC83E06"/>
    <w:rsid w:val="4CC93BAD"/>
    <w:rsid w:val="4CCC347D"/>
    <w:rsid w:val="4CCD02F4"/>
    <w:rsid w:val="4CCF3072"/>
    <w:rsid w:val="4CD47700"/>
    <w:rsid w:val="4CD755DC"/>
    <w:rsid w:val="4CDB0A98"/>
    <w:rsid w:val="4CDB235A"/>
    <w:rsid w:val="4CDC0CB1"/>
    <w:rsid w:val="4CDD1CAD"/>
    <w:rsid w:val="4CDD4221"/>
    <w:rsid w:val="4CE01DC4"/>
    <w:rsid w:val="4CE45463"/>
    <w:rsid w:val="4CE635FF"/>
    <w:rsid w:val="4CE67069"/>
    <w:rsid w:val="4CE73BAA"/>
    <w:rsid w:val="4CE77447"/>
    <w:rsid w:val="4CE93A23"/>
    <w:rsid w:val="4CF33AFB"/>
    <w:rsid w:val="4CF429D6"/>
    <w:rsid w:val="4CF575F1"/>
    <w:rsid w:val="4CF77D01"/>
    <w:rsid w:val="4CF81B77"/>
    <w:rsid w:val="4CFD2118"/>
    <w:rsid w:val="4CFD2D45"/>
    <w:rsid w:val="4CFF5DA1"/>
    <w:rsid w:val="4D016BF2"/>
    <w:rsid w:val="4D030B61"/>
    <w:rsid w:val="4D0908B5"/>
    <w:rsid w:val="4D0B0A1E"/>
    <w:rsid w:val="4D0B7B85"/>
    <w:rsid w:val="4D0C0FB9"/>
    <w:rsid w:val="4D0C1F1D"/>
    <w:rsid w:val="4D0D6C85"/>
    <w:rsid w:val="4D0E47C8"/>
    <w:rsid w:val="4D1109C7"/>
    <w:rsid w:val="4D11668F"/>
    <w:rsid w:val="4D144931"/>
    <w:rsid w:val="4D164E20"/>
    <w:rsid w:val="4D1A2693"/>
    <w:rsid w:val="4D1C54AE"/>
    <w:rsid w:val="4D1E7AC6"/>
    <w:rsid w:val="4D203342"/>
    <w:rsid w:val="4D207097"/>
    <w:rsid w:val="4D2248B8"/>
    <w:rsid w:val="4D2431B9"/>
    <w:rsid w:val="4D250A35"/>
    <w:rsid w:val="4D2A0AC3"/>
    <w:rsid w:val="4D2A3ACA"/>
    <w:rsid w:val="4D3334CB"/>
    <w:rsid w:val="4D355B2E"/>
    <w:rsid w:val="4D3678CB"/>
    <w:rsid w:val="4D37435E"/>
    <w:rsid w:val="4D3A2F91"/>
    <w:rsid w:val="4D3C3072"/>
    <w:rsid w:val="4D3F017B"/>
    <w:rsid w:val="4D41499E"/>
    <w:rsid w:val="4D4569D4"/>
    <w:rsid w:val="4D456AA0"/>
    <w:rsid w:val="4D4661ED"/>
    <w:rsid w:val="4D467EDA"/>
    <w:rsid w:val="4D477D36"/>
    <w:rsid w:val="4D484349"/>
    <w:rsid w:val="4D49038E"/>
    <w:rsid w:val="4D4A41DC"/>
    <w:rsid w:val="4D4A7C69"/>
    <w:rsid w:val="4D4B034D"/>
    <w:rsid w:val="4D4B4BF6"/>
    <w:rsid w:val="4D4C3BBE"/>
    <w:rsid w:val="4D4C7343"/>
    <w:rsid w:val="4D4D4E2E"/>
    <w:rsid w:val="4D4E5D86"/>
    <w:rsid w:val="4D50462C"/>
    <w:rsid w:val="4D51510C"/>
    <w:rsid w:val="4D55182D"/>
    <w:rsid w:val="4D555FFB"/>
    <w:rsid w:val="4D5C1EFD"/>
    <w:rsid w:val="4D5E0D76"/>
    <w:rsid w:val="4D5E4B5D"/>
    <w:rsid w:val="4D60157B"/>
    <w:rsid w:val="4D6124BF"/>
    <w:rsid w:val="4D614499"/>
    <w:rsid w:val="4D6252B8"/>
    <w:rsid w:val="4D625602"/>
    <w:rsid w:val="4D63117E"/>
    <w:rsid w:val="4D694EFE"/>
    <w:rsid w:val="4D6C7BDF"/>
    <w:rsid w:val="4D6E0AF3"/>
    <w:rsid w:val="4D714231"/>
    <w:rsid w:val="4D714DB6"/>
    <w:rsid w:val="4D720C74"/>
    <w:rsid w:val="4D740F81"/>
    <w:rsid w:val="4D776DB5"/>
    <w:rsid w:val="4D791D69"/>
    <w:rsid w:val="4D793358"/>
    <w:rsid w:val="4D7B7E79"/>
    <w:rsid w:val="4D7C4BF1"/>
    <w:rsid w:val="4D7E53EA"/>
    <w:rsid w:val="4D7F01F7"/>
    <w:rsid w:val="4D800B74"/>
    <w:rsid w:val="4D80218F"/>
    <w:rsid w:val="4D81795D"/>
    <w:rsid w:val="4D837822"/>
    <w:rsid w:val="4D853DD6"/>
    <w:rsid w:val="4D8A076B"/>
    <w:rsid w:val="4D8C440A"/>
    <w:rsid w:val="4D8C65C8"/>
    <w:rsid w:val="4D8C7110"/>
    <w:rsid w:val="4D8E69AF"/>
    <w:rsid w:val="4D925144"/>
    <w:rsid w:val="4D9469F2"/>
    <w:rsid w:val="4D96606D"/>
    <w:rsid w:val="4D981FE4"/>
    <w:rsid w:val="4D9A5486"/>
    <w:rsid w:val="4D9A5D39"/>
    <w:rsid w:val="4D9A66EB"/>
    <w:rsid w:val="4D9F5307"/>
    <w:rsid w:val="4DA00A5D"/>
    <w:rsid w:val="4DA13765"/>
    <w:rsid w:val="4DA25942"/>
    <w:rsid w:val="4DA623C8"/>
    <w:rsid w:val="4DA90788"/>
    <w:rsid w:val="4DAB42EE"/>
    <w:rsid w:val="4DAD1188"/>
    <w:rsid w:val="4DAE3D0C"/>
    <w:rsid w:val="4DAE7F9B"/>
    <w:rsid w:val="4DAF2F45"/>
    <w:rsid w:val="4DB03C3D"/>
    <w:rsid w:val="4DB219A1"/>
    <w:rsid w:val="4DB41BDD"/>
    <w:rsid w:val="4DB511FC"/>
    <w:rsid w:val="4DB76A18"/>
    <w:rsid w:val="4DB81892"/>
    <w:rsid w:val="4DB84E35"/>
    <w:rsid w:val="4DBD462B"/>
    <w:rsid w:val="4DC22B02"/>
    <w:rsid w:val="4DC32650"/>
    <w:rsid w:val="4DC47656"/>
    <w:rsid w:val="4DCE003A"/>
    <w:rsid w:val="4DD45C1C"/>
    <w:rsid w:val="4DD86194"/>
    <w:rsid w:val="4DD9041D"/>
    <w:rsid w:val="4DDF1601"/>
    <w:rsid w:val="4DE23B4A"/>
    <w:rsid w:val="4DE35B14"/>
    <w:rsid w:val="4DE50A40"/>
    <w:rsid w:val="4DE51B53"/>
    <w:rsid w:val="4DE52512"/>
    <w:rsid w:val="4DE6159E"/>
    <w:rsid w:val="4DE61626"/>
    <w:rsid w:val="4DE64678"/>
    <w:rsid w:val="4DE75BF1"/>
    <w:rsid w:val="4DE84C11"/>
    <w:rsid w:val="4DE854DA"/>
    <w:rsid w:val="4DE87A0C"/>
    <w:rsid w:val="4DE94138"/>
    <w:rsid w:val="4DEA14E3"/>
    <w:rsid w:val="4DEC1846"/>
    <w:rsid w:val="4DEE23A2"/>
    <w:rsid w:val="4DEE6314"/>
    <w:rsid w:val="4DF13C86"/>
    <w:rsid w:val="4DF26536"/>
    <w:rsid w:val="4DF35BAD"/>
    <w:rsid w:val="4DF40A8A"/>
    <w:rsid w:val="4DF92C54"/>
    <w:rsid w:val="4DF9720F"/>
    <w:rsid w:val="4DF975FA"/>
    <w:rsid w:val="4DFB2BAE"/>
    <w:rsid w:val="4DFB6383"/>
    <w:rsid w:val="4DFD24BD"/>
    <w:rsid w:val="4DFE392E"/>
    <w:rsid w:val="4DFF0F33"/>
    <w:rsid w:val="4E003282"/>
    <w:rsid w:val="4E045D65"/>
    <w:rsid w:val="4E055362"/>
    <w:rsid w:val="4E066684"/>
    <w:rsid w:val="4E0701C6"/>
    <w:rsid w:val="4E085D82"/>
    <w:rsid w:val="4E0C2B43"/>
    <w:rsid w:val="4E0D2D23"/>
    <w:rsid w:val="4E115AB9"/>
    <w:rsid w:val="4E12239B"/>
    <w:rsid w:val="4E1255C6"/>
    <w:rsid w:val="4E1414FA"/>
    <w:rsid w:val="4E144A5B"/>
    <w:rsid w:val="4E195E24"/>
    <w:rsid w:val="4E197FEB"/>
    <w:rsid w:val="4E1B40A8"/>
    <w:rsid w:val="4E1C6BE7"/>
    <w:rsid w:val="4E226507"/>
    <w:rsid w:val="4E23178A"/>
    <w:rsid w:val="4E26560D"/>
    <w:rsid w:val="4E275171"/>
    <w:rsid w:val="4E285237"/>
    <w:rsid w:val="4E295810"/>
    <w:rsid w:val="4E297C46"/>
    <w:rsid w:val="4E2A69FB"/>
    <w:rsid w:val="4E2B1A8D"/>
    <w:rsid w:val="4E2E1FFC"/>
    <w:rsid w:val="4E320DAF"/>
    <w:rsid w:val="4E331018"/>
    <w:rsid w:val="4E366926"/>
    <w:rsid w:val="4E376EB1"/>
    <w:rsid w:val="4E38357E"/>
    <w:rsid w:val="4E3C4272"/>
    <w:rsid w:val="4E404E5A"/>
    <w:rsid w:val="4E431A4C"/>
    <w:rsid w:val="4E440552"/>
    <w:rsid w:val="4E445953"/>
    <w:rsid w:val="4E445D4A"/>
    <w:rsid w:val="4E4515AF"/>
    <w:rsid w:val="4E4B2E51"/>
    <w:rsid w:val="4E4C7447"/>
    <w:rsid w:val="4E5141E6"/>
    <w:rsid w:val="4E516820"/>
    <w:rsid w:val="4E5666D4"/>
    <w:rsid w:val="4E58284C"/>
    <w:rsid w:val="4E593051"/>
    <w:rsid w:val="4E5971F8"/>
    <w:rsid w:val="4E5B50E1"/>
    <w:rsid w:val="4E5C5A87"/>
    <w:rsid w:val="4E5D31B2"/>
    <w:rsid w:val="4E616F34"/>
    <w:rsid w:val="4E632280"/>
    <w:rsid w:val="4E65799F"/>
    <w:rsid w:val="4E691C6C"/>
    <w:rsid w:val="4E6938D3"/>
    <w:rsid w:val="4E6B58EF"/>
    <w:rsid w:val="4E6E4824"/>
    <w:rsid w:val="4E7131B4"/>
    <w:rsid w:val="4E7218CF"/>
    <w:rsid w:val="4E74411E"/>
    <w:rsid w:val="4E753EC9"/>
    <w:rsid w:val="4E784C80"/>
    <w:rsid w:val="4E7B4D57"/>
    <w:rsid w:val="4E7E3492"/>
    <w:rsid w:val="4E7F0DBC"/>
    <w:rsid w:val="4E821C4E"/>
    <w:rsid w:val="4E823E69"/>
    <w:rsid w:val="4E8447ED"/>
    <w:rsid w:val="4E894D34"/>
    <w:rsid w:val="4E896EAB"/>
    <w:rsid w:val="4E8A0B08"/>
    <w:rsid w:val="4E8A15DD"/>
    <w:rsid w:val="4E8C7576"/>
    <w:rsid w:val="4E8D2F12"/>
    <w:rsid w:val="4E9028B7"/>
    <w:rsid w:val="4E926512"/>
    <w:rsid w:val="4E935397"/>
    <w:rsid w:val="4E97094A"/>
    <w:rsid w:val="4E982131"/>
    <w:rsid w:val="4E985F21"/>
    <w:rsid w:val="4E9966F8"/>
    <w:rsid w:val="4E9F1437"/>
    <w:rsid w:val="4EA2082D"/>
    <w:rsid w:val="4EA34B4C"/>
    <w:rsid w:val="4EA36809"/>
    <w:rsid w:val="4EA64B9E"/>
    <w:rsid w:val="4EAB19FB"/>
    <w:rsid w:val="4EAF7F26"/>
    <w:rsid w:val="4EB057AF"/>
    <w:rsid w:val="4EB36FD9"/>
    <w:rsid w:val="4EB42692"/>
    <w:rsid w:val="4EB46731"/>
    <w:rsid w:val="4EB76B99"/>
    <w:rsid w:val="4EB9685C"/>
    <w:rsid w:val="4EBA2C02"/>
    <w:rsid w:val="4EBB04D9"/>
    <w:rsid w:val="4EBC0405"/>
    <w:rsid w:val="4EBE48EB"/>
    <w:rsid w:val="4EBF7031"/>
    <w:rsid w:val="4EC0173F"/>
    <w:rsid w:val="4EC44C22"/>
    <w:rsid w:val="4EC56E9C"/>
    <w:rsid w:val="4EC64616"/>
    <w:rsid w:val="4ECA32D4"/>
    <w:rsid w:val="4ECB32BA"/>
    <w:rsid w:val="4ECD5C8B"/>
    <w:rsid w:val="4ECF67EF"/>
    <w:rsid w:val="4ED30808"/>
    <w:rsid w:val="4ED54005"/>
    <w:rsid w:val="4ED84578"/>
    <w:rsid w:val="4EDA2D5C"/>
    <w:rsid w:val="4EDD5E67"/>
    <w:rsid w:val="4EDF2DC2"/>
    <w:rsid w:val="4EDF4E9A"/>
    <w:rsid w:val="4EE13ABD"/>
    <w:rsid w:val="4EE222B6"/>
    <w:rsid w:val="4EE555EC"/>
    <w:rsid w:val="4EEC58D8"/>
    <w:rsid w:val="4EEF4B54"/>
    <w:rsid w:val="4EEF5298"/>
    <w:rsid w:val="4EF02173"/>
    <w:rsid w:val="4EF202FC"/>
    <w:rsid w:val="4EF266DF"/>
    <w:rsid w:val="4EF41680"/>
    <w:rsid w:val="4EF66AE4"/>
    <w:rsid w:val="4EF701E7"/>
    <w:rsid w:val="4EFB6096"/>
    <w:rsid w:val="4EFC14E2"/>
    <w:rsid w:val="4EFE3721"/>
    <w:rsid w:val="4EFF2AD4"/>
    <w:rsid w:val="4F00592E"/>
    <w:rsid w:val="4F0336C9"/>
    <w:rsid w:val="4F0403F1"/>
    <w:rsid w:val="4F046A1E"/>
    <w:rsid w:val="4F056517"/>
    <w:rsid w:val="4F0663BD"/>
    <w:rsid w:val="4F072623"/>
    <w:rsid w:val="4F072B88"/>
    <w:rsid w:val="4F093452"/>
    <w:rsid w:val="4F0B5F12"/>
    <w:rsid w:val="4F0D02FD"/>
    <w:rsid w:val="4F0D2B96"/>
    <w:rsid w:val="4F113147"/>
    <w:rsid w:val="4F147880"/>
    <w:rsid w:val="4F1645E4"/>
    <w:rsid w:val="4F1952CE"/>
    <w:rsid w:val="4F1C1F57"/>
    <w:rsid w:val="4F1F51F2"/>
    <w:rsid w:val="4F203854"/>
    <w:rsid w:val="4F2230E7"/>
    <w:rsid w:val="4F2253FC"/>
    <w:rsid w:val="4F232B5B"/>
    <w:rsid w:val="4F260BB4"/>
    <w:rsid w:val="4F284C07"/>
    <w:rsid w:val="4F28517F"/>
    <w:rsid w:val="4F2D733B"/>
    <w:rsid w:val="4F2E1D9C"/>
    <w:rsid w:val="4F2E3CC5"/>
    <w:rsid w:val="4F303A30"/>
    <w:rsid w:val="4F31004A"/>
    <w:rsid w:val="4F351B61"/>
    <w:rsid w:val="4F381729"/>
    <w:rsid w:val="4F394AA5"/>
    <w:rsid w:val="4F3C3126"/>
    <w:rsid w:val="4F432875"/>
    <w:rsid w:val="4F453B7F"/>
    <w:rsid w:val="4F454529"/>
    <w:rsid w:val="4F4641B3"/>
    <w:rsid w:val="4F476521"/>
    <w:rsid w:val="4F4940A8"/>
    <w:rsid w:val="4F4C084C"/>
    <w:rsid w:val="4F4C364E"/>
    <w:rsid w:val="4F4F4FF0"/>
    <w:rsid w:val="4F5008C9"/>
    <w:rsid w:val="4F510544"/>
    <w:rsid w:val="4F573462"/>
    <w:rsid w:val="4F5B0F45"/>
    <w:rsid w:val="4F5E6221"/>
    <w:rsid w:val="4F617724"/>
    <w:rsid w:val="4F65142F"/>
    <w:rsid w:val="4F672AA0"/>
    <w:rsid w:val="4F672F11"/>
    <w:rsid w:val="4F693FED"/>
    <w:rsid w:val="4F6D1119"/>
    <w:rsid w:val="4F6E7A71"/>
    <w:rsid w:val="4F6F7E30"/>
    <w:rsid w:val="4F75566D"/>
    <w:rsid w:val="4F7703F3"/>
    <w:rsid w:val="4F784937"/>
    <w:rsid w:val="4F7B5EF0"/>
    <w:rsid w:val="4F7D2884"/>
    <w:rsid w:val="4F887E91"/>
    <w:rsid w:val="4F89481D"/>
    <w:rsid w:val="4F8C176E"/>
    <w:rsid w:val="4F9206A4"/>
    <w:rsid w:val="4F9420E0"/>
    <w:rsid w:val="4F945678"/>
    <w:rsid w:val="4F954036"/>
    <w:rsid w:val="4F963562"/>
    <w:rsid w:val="4F98335D"/>
    <w:rsid w:val="4F9937A6"/>
    <w:rsid w:val="4F9C0EB3"/>
    <w:rsid w:val="4FA11980"/>
    <w:rsid w:val="4FA92F7B"/>
    <w:rsid w:val="4FA95EF6"/>
    <w:rsid w:val="4FAC473B"/>
    <w:rsid w:val="4FAC6234"/>
    <w:rsid w:val="4FAD014A"/>
    <w:rsid w:val="4FB02470"/>
    <w:rsid w:val="4FB05B0E"/>
    <w:rsid w:val="4FB77097"/>
    <w:rsid w:val="4FBA648B"/>
    <w:rsid w:val="4FBB2879"/>
    <w:rsid w:val="4FBD1B31"/>
    <w:rsid w:val="4FBD5CF3"/>
    <w:rsid w:val="4FC71C54"/>
    <w:rsid w:val="4FC80953"/>
    <w:rsid w:val="4FCB5194"/>
    <w:rsid w:val="4FCB64CB"/>
    <w:rsid w:val="4FCC11C8"/>
    <w:rsid w:val="4FD27C05"/>
    <w:rsid w:val="4FD45195"/>
    <w:rsid w:val="4FD83572"/>
    <w:rsid w:val="4FD93853"/>
    <w:rsid w:val="4FDB69ED"/>
    <w:rsid w:val="4FDC30DE"/>
    <w:rsid w:val="4FDC4157"/>
    <w:rsid w:val="4FDC4AEB"/>
    <w:rsid w:val="4FDF5C03"/>
    <w:rsid w:val="4FE16975"/>
    <w:rsid w:val="4FEB1B53"/>
    <w:rsid w:val="4FED713D"/>
    <w:rsid w:val="4FEE13C0"/>
    <w:rsid w:val="4FEF6533"/>
    <w:rsid w:val="4FF069D3"/>
    <w:rsid w:val="4FF25E54"/>
    <w:rsid w:val="4FF42523"/>
    <w:rsid w:val="4FF53AF6"/>
    <w:rsid w:val="4FF66BCA"/>
    <w:rsid w:val="4FF71D27"/>
    <w:rsid w:val="4FFA4EAD"/>
    <w:rsid w:val="4FFC2F4A"/>
    <w:rsid w:val="4FFC4F10"/>
    <w:rsid w:val="4FFE0DC4"/>
    <w:rsid w:val="50086D94"/>
    <w:rsid w:val="500A7BB4"/>
    <w:rsid w:val="500D26B1"/>
    <w:rsid w:val="50120E02"/>
    <w:rsid w:val="50141691"/>
    <w:rsid w:val="50151FD1"/>
    <w:rsid w:val="501743BB"/>
    <w:rsid w:val="50176BEC"/>
    <w:rsid w:val="501F1B1F"/>
    <w:rsid w:val="501F5839"/>
    <w:rsid w:val="50202785"/>
    <w:rsid w:val="50205B75"/>
    <w:rsid w:val="50217226"/>
    <w:rsid w:val="50240C69"/>
    <w:rsid w:val="502457C9"/>
    <w:rsid w:val="50247043"/>
    <w:rsid w:val="50291930"/>
    <w:rsid w:val="50301DB4"/>
    <w:rsid w:val="50327ABB"/>
    <w:rsid w:val="503528BF"/>
    <w:rsid w:val="503568F2"/>
    <w:rsid w:val="50356B3C"/>
    <w:rsid w:val="50366130"/>
    <w:rsid w:val="50370660"/>
    <w:rsid w:val="503C4508"/>
    <w:rsid w:val="503C6869"/>
    <w:rsid w:val="503C7CE6"/>
    <w:rsid w:val="50420054"/>
    <w:rsid w:val="50443A26"/>
    <w:rsid w:val="504547BC"/>
    <w:rsid w:val="50465247"/>
    <w:rsid w:val="50474C12"/>
    <w:rsid w:val="504A62B7"/>
    <w:rsid w:val="504D78C8"/>
    <w:rsid w:val="504F7854"/>
    <w:rsid w:val="50524C79"/>
    <w:rsid w:val="50547533"/>
    <w:rsid w:val="50562647"/>
    <w:rsid w:val="5058019D"/>
    <w:rsid w:val="50580B70"/>
    <w:rsid w:val="505949FF"/>
    <w:rsid w:val="505A4960"/>
    <w:rsid w:val="505D0A6E"/>
    <w:rsid w:val="505F00CF"/>
    <w:rsid w:val="50627465"/>
    <w:rsid w:val="506413D1"/>
    <w:rsid w:val="5064244F"/>
    <w:rsid w:val="50672DAE"/>
    <w:rsid w:val="506741B9"/>
    <w:rsid w:val="50682910"/>
    <w:rsid w:val="506857D6"/>
    <w:rsid w:val="506B4413"/>
    <w:rsid w:val="506E4100"/>
    <w:rsid w:val="506F4E38"/>
    <w:rsid w:val="50731147"/>
    <w:rsid w:val="50772374"/>
    <w:rsid w:val="507B5C11"/>
    <w:rsid w:val="507B7DE4"/>
    <w:rsid w:val="507C14FD"/>
    <w:rsid w:val="508103F1"/>
    <w:rsid w:val="5082301C"/>
    <w:rsid w:val="508370A5"/>
    <w:rsid w:val="50867154"/>
    <w:rsid w:val="50870B36"/>
    <w:rsid w:val="508F3FDA"/>
    <w:rsid w:val="509369EF"/>
    <w:rsid w:val="50936E3D"/>
    <w:rsid w:val="509440D8"/>
    <w:rsid w:val="5095039B"/>
    <w:rsid w:val="509571CD"/>
    <w:rsid w:val="50963A3D"/>
    <w:rsid w:val="50A203B3"/>
    <w:rsid w:val="50A61768"/>
    <w:rsid w:val="50A706CA"/>
    <w:rsid w:val="50A86495"/>
    <w:rsid w:val="50AA4C42"/>
    <w:rsid w:val="50AC3FB1"/>
    <w:rsid w:val="50AD515E"/>
    <w:rsid w:val="50B054B9"/>
    <w:rsid w:val="50B24230"/>
    <w:rsid w:val="50B2483A"/>
    <w:rsid w:val="50B45BA3"/>
    <w:rsid w:val="50B57B41"/>
    <w:rsid w:val="50B65C24"/>
    <w:rsid w:val="50B77A37"/>
    <w:rsid w:val="50B81047"/>
    <w:rsid w:val="50B8521D"/>
    <w:rsid w:val="50BA1B13"/>
    <w:rsid w:val="50BA1CF0"/>
    <w:rsid w:val="50BA234A"/>
    <w:rsid w:val="50BD6E28"/>
    <w:rsid w:val="50C03934"/>
    <w:rsid w:val="50C04DDF"/>
    <w:rsid w:val="50C11F01"/>
    <w:rsid w:val="50C331E4"/>
    <w:rsid w:val="50C335B9"/>
    <w:rsid w:val="50C4104E"/>
    <w:rsid w:val="50C944A2"/>
    <w:rsid w:val="50CA7D3B"/>
    <w:rsid w:val="50CD43C0"/>
    <w:rsid w:val="50CF7D42"/>
    <w:rsid w:val="50D17ED4"/>
    <w:rsid w:val="50D26F01"/>
    <w:rsid w:val="50D54E84"/>
    <w:rsid w:val="50D71A39"/>
    <w:rsid w:val="50D853AF"/>
    <w:rsid w:val="50DA2228"/>
    <w:rsid w:val="50DA6630"/>
    <w:rsid w:val="50DB20E5"/>
    <w:rsid w:val="50DB24E3"/>
    <w:rsid w:val="50DC7A78"/>
    <w:rsid w:val="50DD5735"/>
    <w:rsid w:val="50E05E04"/>
    <w:rsid w:val="50E1187C"/>
    <w:rsid w:val="50E24F5F"/>
    <w:rsid w:val="50E32BDD"/>
    <w:rsid w:val="50EC2777"/>
    <w:rsid w:val="50EF0973"/>
    <w:rsid w:val="50F1418A"/>
    <w:rsid w:val="50F67733"/>
    <w:rsid w:val="50FA1F71"/>
    <w:rsid w:val="50FD0585"/>
    <w:rsid w:val="51005388"/>
    <w:rsid w:val="51021695"/>
    <w:rsid w:val="5104560B"/>
    <w:rsid w:val="5107529E"/>
    <w:rsid w:val="51075424"/>
    <w:rsid w:val="510B455C"/>
    <w:rsid w:val="510B55BF"/>
    <w:rsid w:val="510E0D58"/>
    <w:rsid w:val="510F5C04"/>
    <w:rsid w:val="51166B28"/>
    <w:rsid w:val="51174575"/>
    <w:rsid w:val="5118521F"/>
    <w:rsid w:val="51185E46"/>
    <w:rsid w:val="51205E69"/>
    <w:rsid w:val="512643E9"/>
    <w:rsid w:val="512713B3"/>
    <w:rsid w:val="512D044F"/>
    <w:rsid w:val="512E4282"/>
    <w:rsid w:val="512F5E49"/>
    <w:rsid w:val="51373076"/>
    <w:rsid w:val="513736F9"/>
    <w:rsid w:val="51380D02"/>
    <w:rsid w:val="5138447B"/>
    <w:rsid w:val="513C7216"/>
    <w:rsid w:val="513F7D9B"/>
    <w:rsid w:val="51426188"/>
    <w:rsid w:val="51470426"/>
    <w:rsid w:val="5147129D"/>
    <w:rsid w:val="514712CC"/>
    <w:rsid w:val="51472BA8"/>
    <w:rsid w:val="51486E49"/>
    <w:rsid w:val="514919BF"/>
    <w:rsid w:val="514F12AF"/>
    <w:rsid w:val="51534C54"/>
    <w:rsid w:val="51564019"/>
    <w:rsid w:val="51564AD9"/>
    <w:rsid w:val="5159166B"/>
    <w:rsid w:val="515B0AB4"/>
    <w:rsid w:val="515C236F"/>
    <w:rsid w:val="51613D65"/>
    <w:rsid w:val="516271B8"/>
    <w:rsid w:val="5165788D"/>
    <w:rsid w:val="516615C7"/>
    <w:rsid w:val="516D646A"/>
    <w:rsid w:val="517023A4"/>
    <w:rsid w:val="51704213"/>
    <w:rsid w:val="51727093"/>
    <w:rsid w:val="51760234"/>
    <w:rsid w:val="517D4D82"/>
    <w:rsid w:val="517D5395"/>
    <w:rsid w:val="517E20A2"/>
    <w:rsid w:val="51803404"/>
    <w:rsid w:val="51807013"/>
    <w:rsid w:val="518565DE"/>
    <w:rsid w:val="51882483"/>
    <w:rsid w:val="518A2C9A"/>
    <w:rsid w:val="518D0054"/>
    <w:rsid w:val="51962C0F"/>
    <w:rsid w:val="519819D4"/>
    <w:rsid w:val="519A0463"/>
    <w:rsid w:val="519A2F3F"/>
    <w:rsid w:val="519C439E"/>
    <w:rsid w:val="51A01532"/>
    <w:rsid w:val="51A52E7D"/>
    <w:rsid w:val="51A62EAF"/>
    <w:rsid w:val="51A6345F"/>
    <w:rsid w:val="51A74C4D"/>
    <w:rsid w:val="51A7545B"/>
    <w:rsid w:val="51A94C1A"/>
    <w:rsid w:val="51AA2690"/>
    <w:rsid w:val="51AE1922"/>
    <w:rsid w:val="51AE761B"/>
    <w:rsid w:val="51B30BFF"/>
    <w:rsid w:val="51B42C43"/>
    <w:rsid w:val="51B738ED"/>
    <w:rsid w:val="51B77A59"/>
    <w:rsid w:val="51B803DD"/>
    <w:rsid w:val="51BA29FA"/>
    <w:rsid w:val="51BE119B"/>
    <w:rsid w:val="51C0267C"/>
    <w:rsid w:val="51C2684A"/>
    <w:rsid w:val="51C54EA8"/>
    <w:rsid w:val="51C57B72"/>
    <w:rsid w:val="51C61E6C"/>
    <w:rsid w:val="51C75EEA"/>
    <w:rsid w:val="51CC36AE"/>
    <w:rsid w:val="51CF0618"/>
    <w:rsid w:val="51CF1E33"/>
    <w:rsid w:val="51D37657"/>
    <w:rsid w:val="51D45F9C"/>
    <w:rsid w:val="51D6053E"/>
    <w:rsid w:val="51E2413D"/>
    <w:rsid w:val="51E519D4"/>
    <w:rsid w:val="51E642A6"/>
    <w:rsid w:val="51E96781"/>
    <w:rsid w:val="51F12C27"/>
    <w:rsid w:val="51F273FF"/>
    <w:rsid w:val="51F654CB"/>
    <w:rsid w:val="51F8042D"/>
    <w:rsid w:val="51F91333"/>
    <w:rsid w:val="520137AC"/>
    <w:rsid w:val="52032BEF"/>
    <w:rsid w:val="520416C7"/>
    <w:rsid w:val="520859DD"/>
    <w:rsid w:val="520A04AE"/>
    <w:rsid w:val="520B3062"/>
    <w:rsid w:val="520D1188"/>
    <w:rsid w:val="520E68EE"/>
    <w:rsid w:val="52124198"/>
    <w:rsid w:val="52124D72"/>
    <w:rsid w:val="52132E8D"/>
    <w:rsid w:val="52133E7E"/>
    <w:rsid w:val="52147ED7"/>
    <w:rsid w:val="5219519D"/>
    <w:rsid w:val="521C3E97"/>
    <w:rsid w:val="521F4997"/>
    <w:rsid w:val="52255A37"/>
    <w:rsid w:val="52301EA5"/>
    <w:rsid w:val="523118AA"/>
    <w:rsid w:val="523208D9"/>
    <w:rsid w:val="523227D4"/>
    <w:rsid w:val="52377C28"/>
    <w:rsid w:val="523807FA"/>
    <w:rsid w:val="523A04F4"/>
    <w:rsid w:val="523A3584"/>
    <w:rsid w:val="523B4333"/>
    <w:rsid w:val="524516AD"/>
    <w:rsid w:val="52457232"/>
    <w:rsid w:val="524A59A2"/>
    <w:rsid w:val="524B26C3"/>
    <w:rsid w:val="524C6403"/>
    <w:rsid w:val="524E0A5E"/>
    <w:rsid w:val="524F7E76"/>
    <w:rsid w:val="52514519"/>
    <w:rsid w:val="52546FC3"/>
    <w:rsid w:val="525732E4"/>
    <w:rsid w:val="52585201"/>
    <w:rsid w:val="525879FC"/>
    <w:rsid w:val="52594A48"/>
    <w:rsid w:val="525E6BDE"/>
    <w:rsid w:val="52627C28"/>
    <w:rsid w:val="52643509"/>
    <w:rsid w:val="5269032A"/>
    <w:rsid w:val="526C1F7B"/>
    <w:rsid w:val="526E039B"/>
    <w:rsid w:val="527226D0"/>
    <w:rsid w:val="52743288"/>
    <w:rsid w:val="52752049"/>
    <w:rsid w:val="52764BC6"/>
    <w:rsid w:val="52782070"/>
    <w:rsid w:val="52786BEA"/>
    <w:rsid w:val="527A65F1"/>
    <w:rsid w:val="527E3B89"/>
    <w:rsid w:val="528015D8"/>
    <w:rsid w:val="528927CF"/>
    <w:rsid w:val="528C585C"/>
    <w:rsid w:val="528F38BA"/>
    <w:rsid w:val="529802A4"/>
    <w:rsid w:val="529A4036"/>
    <w:rsid w:val="529E59CB"/>
    <w:rsid w:val="529F4589"/>
    <w:rsid w:val="52A20305"/>
    <w:rsid w:val="52A57EA8"/>
    <w:rsid w:val="52AB2085"/>
    <w:rsid w:val="52AC3E18"/>
    <w:rsid w:val="52AE231E"/>
    <w:rsid w:val="52AE5615"/>
    <w:rsid w:val="52AF143A"/>
    <w:rsid w:val="52B15B42"/>
    <w:rsid w:val="52B15E46"/>
    <w:rsid w:val="52B4234A"/>
    <w:rsid w:val="52B71505"/>
    <w:rsid w:val="52B72C16"/>
    <w:rsid w:val="52B911C5"/>
    <w:rsid w:val="52BF226D"/>
    <w:rsid w:val="52C35925"/>
    <w:rsid w:val="52C63B83"/>
    <w:rsid w:val="52C701D2"/>
    <w:rsid w:val="52C724F5"/>
    <w:rsid w:val="52CF2004"/>
    <w:rsid w:val="52D502E0"/>
    <w:rsid w:val="52D63100"/>
    <w:rsid w:val="52D70266"/>
    <w:rsid w:val="52DB7D42"/>
    <w:rsid w:val="52DC272C"/>
    <w:rsid w:val="52DC7BAD"/>
    <w:rsid w:val="52DD1998"/>
    <w:rsid w:val="52DD78DA"/>
    <w:rsid w:val="52DE4E38"/>
    <w:rsid w:val="52E120A9"/>
    <w:rsid w:val="52E1303D"/>
    <w:rsid w:val="52E17723"/>
    <w:rsid w:val="52E3075B"/>
    <w:rsid w:val="52E3791D"/>
    <w:rsid w:val="52E56931"/>
    <w:rsid w:val="52EF6C86"/>
    <w:rsid w:val="52F11275"/>
    <w:rsid w:val="52F17DCD"/>
    <w:rsid w:val="52F42183"/>
    <w:rsid w:val="52F91F02"/>
    <w:rsid w:val="52FA246C"/>
    <w:rsid w:val="52FA2BF6"/>
    <w:rsid w:val="52FB3D2E"/>
    <w:rsid w:val="52FD06DD"/>
    <w:rsid w:val="52FD7238"/>
    <w:rsid w:val="53005AE0"/>
    <w:rsid w:val="53071242"/>
    <w:rsid w:val="53072919"/>
    <w:rsid w:val="53081887"/>
    <w:rsid w:val="530A629F"/>
    <w:rsid w:val="530B2426"/>
    <w:rsid w:val="530B45CF"/>
    <w:rsid w:val="530F4A29"/>
    <w:rsid w:val="53117C41"/>
    <w:rsid w:val="53126A04"/>
    <w:rsid w:val="53185193"/>
    <w:rsid w:val="531B4EAC"/>
    <w:rsid w:val="5323366D"/>
    <w:rsid w:val="53254DDC"/>
    <w:rsid w:val="53292778"/>
    <w:rsid w:val="532B0AB2"/>
    <w:rsid w:val="5332250F"/>
    <w:rsid w:val="533359F4"/>
    <w:rsid w:val="5334192D"/>
    <w:rsid w:val="5337514D"/>
    <w:rsid w:val="53380A2D"/>
    <w:rsid w:val="533D3BA5"/>
    <w:rsid w:val="534024D7"/>
    <w:rsid w:val="534128A2"/>
    <w:rsid w:val="534554DB"/>
    <w:rsid w:val="53460534"/>
    <w:rsid w:val="53461B46"/>
    <w:rsid w:val="5347757D"/>
    <w:rsid w:val="5348159D"/>
    <w:rsid w:val="534E7768"/>
    <w:rsid w:val="5350324B"/>
    <w:rsid w:val="53520D0A"/>
    <w:rsid w:val="53523524"/>
    <w:rsid w:val="53524834"/>
    <w:rsid w:val="53531291"/>
    <w:rsid w:val="53566B42"/>
    <w:rsid w:val="5358292E"/>
    <w:rsid w:val="53590DEA"/>
    <w:rsid w:val="535D1960"/>
    <w:rsid w:val="535D51C0"/>
    <w:rsid w:val="535E3828"/>
    <w:rsid w:val="535F41B1"/>
    <w:rsid w:val="53631564"/>
    <w:rsid w:val="53645592"/>
    <w:rsid w:val="53660EDD"/>
    <w:rsid w:val="5368139A"/>
    <w:rsid w:val="53693825"/>
    <w:rsid w:val="53695F07"/>
    <w:rsid w:val="536A0F11"/>
    <w:rsid w:val="536B68BC"/>
    <w:rsid w:val="536E3569"/>
    <w:rsid w:val="536F3B83"/>
    <w:rsid w:val="537401D8"/>
    <w:rsid w:val="53763552"/>
    <w:rsid w:val="53787F91"/>
    <w:rsid w:val="537900CA"/>
    <w:rsid w:val="53794C71"/>
    <w:rsid w:val="537B5808"/>
    <w:rsid w:val="537B67D5"/>
    <w:rsid w:val="537F10C0"/>
    <w:rsid w:val="538308F2"/>
    <w:rsid w:val="53834E23"/>
    <w:rsid w:val="538945BD"/>
    <w:rsid w:val="538D2CC0"/>
    <w:rsid w:val="538D4C20"/>
    <w:rsid w:val="538D5B06"/>
    <w:rsid w:val="538E2C53"/>
    <w:rsid w:val="538F2D5A"/>
    <w:rsid w:val="53935271"/>
    <w:rsid w:val="53973F98"/>
    <w:rsid w:val="539A4207"/>
    <w:rsid w:val="539A70FB"/>
    <w:rsid w:val="539B01B2"/>
    <w:rsid w:val="539E1621"/>
    <w:rsid w:val="539E61A6"/>
    <w:rsid w:val="539F68DE"/>
    <w:rsid w:val="53A02AB6"/>
    <w:rsid w:val="53A465F6"/>
    <w:rsid w:val="53A56E7F"/>
    <w:rsid w:val="53AC4B8A"/>
    <w:rsid w:val="53AD4B03"/>
    <w:rsid w:val="53AE48CC"/>
    <w:rsid w:val="53B14D36"/>
    <w:rsid w:val="53B423FA"/>
    <w:rsid w:val="53B77E1E"/>
    <w:rsid w:val="53B829A9"/>
    <w:rsid w:val="53BD1BC0"/>
    <w:rsid w:val="53C02F72"/>
    <w:rsid w:val="53C04D0A"/>
    <w:rsid w:val="53C2485B"/>
    <w:rsid w:val="53C40488"/>
    <w:rsid w:val="53C422EB"/>
    <w:rsid w:val="53C57AD0"/>
    <w:rsid w:val="53C91667"/>
    <w:rsid w:val="53CA7B92"/>
    <w:rsid w:val="53CB77AC"/>
    <w:rsid w:val="53CF3E6C"/>
    <w:rsid w:val="53CF4366"/>
    <w:rsid w:val="53D2564E"/>
    <w:rsid w:val="53D50412"/>
    <w:rsid w:val="53D62EE8"/>
    <w:rsid w:val="53D75343"/>
    <w:rsid w:val="53D8420D"/>
    <w:rsid w:val="53D90444"/>
    <w:rsid w:val="53DB1500"/>
    <w:rsid w:val="53DC3811"/>
    <w:rsid w:val="53DE026E"/>
    <w:rsid w:val="53E00FA8"/>
    <w:rsid w:val="53E527D5"/>
    <w:rsid w:val="53E52FD1"/>
    <w:rsid w:val="53E8408C"/>
    <w:rsid w:val="53F063D4"/>
    <w:rsid w:val="53F17132"/>
    <w:rsid w:val="53F45E21"/>
    <w:rsid w:val="53F63440"/>
    <w:rsid w:val="53F73654"/>
    <w:rsid w:val="53FB0865"/>
    <w:rsid w:val="53FB6606"/>
    <w:rsid w:val="53FD495E"/>
    <w:rsid w:val="53FE1AC2"/>
    <w:rsid w:val="53FE75A8"/>
    <w:rsid w:val="53FF4CB6"/>
    <w:rsid w:val="540036B9"/>
    <w:rsid w:val="54022B65"/>
    <w:rsid w:val="540252C6"/>
    <w:rsid w:val="540317F1"/>
    <w:rsid w:val="540400B4"/>
    <w:rsid w:val="5409053E"/>
    <w:rsid w:val="540D5878"/>
    <w:rsid w:val="540D7690"/>
    <w:rsid w:val="540F0BDC"/>
    <w:rsid w:val="540F6866"/>
    <w:rsid w:val="54100AA5"/>
    <w:rsid w:val="54106743"/>
    <w:rsid w:val="54197263"/>
    <w:rsid w:val="541C6F06"/>
    <w:rsid w:val="541D676F"/>
    <w:rsid w:val="541E32CB"/>
    <w:rsid w:val="541F7B6A"/>
    <w:rsid w:val="54214057"/>
    <w:rsid w:val="5424373A"/>
    <w:rsid w:val="54255E90"/>
    <w:rsid w:val="54263E40"/>
    <w:rsid w:val="542645E8"/>
    <w:rsid w:val="54267F4C"/>
    <w:rsid w:val="542761B2"/>
    <w:rsid w:val="54280BFF"/>
    <w:rsid w:val="542956EA"/>
    <w:rsid w:val="542C0DF6"/>
    <w:rsid w:val="542E2A0E"/>
    <w:rsid w:val="543165F4"/>
    <w:rsid w:val="54331D91"/>
    <w:rsid w:val="543320E9"/>
    <w:rsid w:val="543747C0"/>
    <w:rsid w:val="543A5F3E"/>
    <w:rsid w:val="543B1A88"/>
    <w:rsid w:val="543B301D"/>
    <w:rsid w:val="54405C53"/>
    <w:rsid w:val="54442E78"/>
    <w:rsid w:val="54491D5B"/>
    <w:rsid w:val="544B3C6C"/>
    <w:rsid w:val="544B44BC"/>
    <w:rsid w:val="544C24A1"/>
    <w:rsid w:val="544F703D"/>
    <w:rsid w:val="54503F7C"/>
    <w:rsid w:val="54530647"/>
    <w:rsid w:val="5454477F"/>
    <w:rsid w:val="54546657"/>
    <w:rsid w:val="545D4617"/>
    <w:rsid w:val="545E672F"/>
    <w:rsid w:val="545F1706"/>
    <w:rsid w:val="545F25F1"/>
    <w:rsid w:val="5462140A"/>
    <w:rsid w:val="54647F2E"/>
    <w:rsid w:val="54674694"/>
    <w:rsid w:val="546A10AB"/>
    <w:rsid w:val="547050B0"/>
    <w:rsid w:val="54733ECA"/>
    <w:rsid w:val="547B0C0C"/>
    <w:rsid w:val="547C0556"/>
    <w:rsid w:val="547C25BA"/>
    <w:rsid w:val="547F6CFD"/>
    <w:rsid w:val="54855DDD"/>
    <w:rsid w:val="5486331E"/>
    <w:rsid w:val="548806DE"/>
    <w:rsid w:val="549007C4"/>
    <w:rsid w:val="54903571"/>
    <w:rsid w:val="549178E2"/>
    <w:rsid w:val="549224DD"/>
    <w:rsid w:val="5496449F"/>
    <w:rsid w:val="54966F19"/>
    <w:rsid w:val="549C2F40"/>
    <w:rsid w:val="549F19B5"/>
    <w:rsid w:val="54A10E2A"/>
    <w:rsid w:val="54A11963"/>
    <w:rsid w:val="54A22D25"/>
    <w:rsid w:val="54A34CE6"/>
    <w:rsid w:val="54A64EA4"/>
    <w:rsid w:val="54AB7464"/>
    <w:rsid w:val="54AD0E54"/>
    <w:rsid w:val="54AF4C82"/>
    <w:rsid w:val="54B11C91"/>
    <w:rsid w:val="54B456E0"/>
    <w:rsid w:val="54B649A4"/>
    <w:rsid w:val="54B66D09"/>
    <w:rsid w:val="54B865B6"/>
    <w:rsid w:val="54BB2229"/>
    <w:rsid w:val="54BE1FCE"/>
    <w:rsid w:val="54BF3FF6"/>
    <w:rsid w:val="54C54756"/>
    <w:rsid w:val="54C61297"/>
    <w:rsid w:val="54C638D1"/>
    <w:rsid w:val="54C750D9"/>
    <w:rsid w:val="54CA449E"/>
    <w:rsid w:val="54CB2BA2"/>
    <w:rsid w:val="54CC67F3"/>
    <w:rsid w:val="54CD0678"/>
    <w:rsid w:val="54CE316B"/>
    <w:rsid w:val="54D10A4A"/>
    <w:rsid w:val="54D23660"/>
    <w:rsid w:val="54D5159F"/>
    <w:rsid w:val="54D63049"/>
    <w:rsid w:val="54D77187"/>
    <w:rsid w:val="54D843CA"/>
    <w:rsid w:val="54D93C6A"/>
    <w:rsid w:val="54DA0494"/>
    <w:rsid w:val="54DA20D6"/>
    <w:rsid w:val="54DD57C5"/>
    <w:rsid w:val="54E0768D"/>
    <w:rsid w:val="54E31C1C"/>
    <w:rsid w:val="54E41140"/>
    <w:rsid w:val="54E74B53"/>
    <w:rsid w:val="54ED22CF"/>
    <w:rsid w:val="54F02E8A"/>
    <w:rsid w:val="54F24B4A"/>
    <w:rsid w:val="54F31774"/>
    <w:rsid w:val="54FD5E76"/>
    <w:rsid w:val="54FE20E3"/>
    <w:rsid w:val="54FF2600"/>
    <w:rsid w:val="55061B19"/>
    <w:rsid w:val="55062489"/>
    <w:rsid w:val="5507235F"/>
    <w:rsid w:val="550726F6"/>
    <w:rsid w:val="550A781B"/>
    <w:rsid w:val="550C7A1F"/>
    <w:rsid w:val="550D0C63"/>
    <w:rsid w:val="550D2167"/>
    <w:rsid w:val="550D2538"/>
    <w:rsid w:val="55121EE8"/>
    <w:rsid w:val="55142228"/>
    <w:rsid w:val="55175DB4"/>
    <w:rsid w:val="551D5BB3"/>
    <w:rsid w:val="551F1C72"/>
    <w:rsid w:val="551F1F73"/>
    <w:rsid w:val="55257A42"/>
    <w:rsid w:val="552A0752"/>
    <w:rsid w:val="552F305B"/>
    <w:rsid w:val="55317458"/>
    <w:rsid w:val="55320AE0"/>
    <w:rsid w:val="55321B1D"/>
    <w:rsid w:val="55331FB3"/>
    <w:rsid w:val="5533583B"/>
    <w:rsid w:val="5533694C"/>
    <w:rsid w:val="55357664"/>
    <w:rsid w:val="553616BB"/>
    <w:rsid w:val="55383A8C"/>
    <w:rsid w:val="55396BD6"/>
    <w:rsid w:val="553C5983"/>
    <w:rsid w:val="553F21FB"/>
    <w:rsid w:val="554269BA"/>
    <w:rsid w:val="554561CE"/>
    <w:rsid w:val="554661EC"/>
    <w:rsid w:val="554C1723"/>
    <w:rsid w:val="55514B17"/>
    <w:rsid w:val="55520CC5"/>
    <w:rsid w:val="55570466"/>
    <w:rsid w:val="555A0115"/>
    <w:rsid w:val="555F18F9"/>
    <w:rsid w:val="5560342B"/>
    <w:rsid w:val="556201AE"/>
    <w:rsid w:val="556231DD"/>
    <w:rsid w:val="55657878"/>
    <w:rsid w:val="55660926"/>
    <w:rsid w:val="55666750"/>
    <w:rsid w:val="556B252E"/>
    <w:rsid w:val="55711C13"/>
    <w:rsid w:val="5573062E"/>
    <w:rsid w:val="55734EF9"/>
    <w:rsid w:val="557405EC"/>
    <w:rsid w:val="55760044"/>
    <w:rsid w:val="557633A1"/>
    <w:rsid w:val="55775AB4"/>
    <w:rsid w:val="55791DF8"/>
    <w:rsid w:val="55792F1A"/>
    <w:rsid w:val="557D61AA"/>
    <w:rsid w:val="557E3F4A"/>
    <w:rsid w:val="557F0043"/>
    <w:rsid w:val="557F4180"/>
    <w:rsid w:val="55826BFE"/>
    <w:rsid w:val="55827D2B"/>
    <w:rsid w:val="5583010E"/>
    <w:rsid w:val="55865193"/>
    <w:rsid w:val="5588288F"/>
    <w:rsid w:val="558A2CB9"/>
    <w:rsid w:val="558B4B08"/>
    <w:rsid w:val="55920F56"/>
    <w:rsid w:val="55954CF1"/>
    <w:rsid w:val="55983B3A"/>
    <w:rsid w:val="55997DD0"/>
    <w:rsid w:val="559B16AD"/>
    <w:rsid w:val="559B53D2"/>
    <w:rsid w:val="559C0F7F"/>
    <w:rsid w:val="559C2CA0"/>
    <w:rsid w:val="559D76AE"/>
    <w:rsid w:val="559D7F05"/>
    <w:rsid w:val="559F79A5"/>
    <w:rsid w:val="55A06784"/>
    <w:rsid w:val="55A21EAD"/>
    <w:rsid w:val="55A35E8E"/>
    <w:rsid w:val="55A4315C"/>
    <w:rsid w:val="55A57CA4"/>
    <w:rsid w:val="55A86DCF"/>
    <w:rsid w:val="55AA4A78"/>
    <w:rsid w:val="55AA4A89"/>
    <w:rsid w:val="55AC3E91"/>
    <w:rsid w:val="55AD1228"/>
    <w:rsid w:val="55AE025B"/>
    <w:rsid w:val="55B04459"/>
    <w:rsid w:val="55B17D40"/>
    <w:rsid w:val="55B254C4"/>
    <w:rsid w:val="55B60478"/>
    <w:rsid w:val="55B77F08"/>
    <w:rsid w:val="55B856F2"/>
    <w:rsid w:val="55BB5367"/>
    <w:rsid w:val="55BB64FC"/>
    <w:rsid w:val="55BC7456"/>
    <w:rsid w:val="55BD3C28"/>
    <w:rsid w:val="55C041ED"/>
    <w:rsid w:val="55C339EE"/>
    <w:rsid w:val="55C7281B"/>
    <w:rsid w:val="55CA5495"/>
    <w:rsid w:val="55CD4F57"/>
    <w:rsid w:val="55CE61AA"/>
    <w:rsid w:val="55D246EF"/>
    <w:rsid w:val="55D5292C"/>
    <w:rsid w:val="55D85D1A"/>
    <w:rsid w:val="55DB3483"/>
    <w:rsid w:val="55DE3BCC"/>
    <w:rsid w:val="55DF2BBB"/>
    <w:rsid w:val="55E03D03"/>
    <w:rsid w:val="55E27607"/>
    <w:rsid w:val="55E33A55"/>
    <w:rsid w:val="55E42F98"/>
    <w:rsid w:val="55E7386E"/>
    <w:rsid w:val="55EA1543"/>
    <w:rsid w:val="55EB5499"/>
    <w:rsid w:val="55EB6A6E"/>
    <w:rsid w:val="55EB7132"/>
    <w:rsid w:val="55EC6C0F"/>
    <w:rsid w:val="55EF4AED"/>
    <w:rsid w:val="55F30F45"/>
    <w:rsid w:val="55F45464"/>
    <w:rsid w:val="55F50A5D"/>
    <w:rsid w:val="55F50C47"/>
    <w:rsid w:val="55F538FA"/>
    <w:rsid w:val="55F53F54"/>
    <w:rsid w:val="55F828B0"/>
    <w:rsid w:val="55FD2FBE"/>
    <w:rsid w:val="55FE5013"/>
    <w:rsid w:val="55FE6C05"/>
    <w:rsid w:val="55FE733B"/>
    <w:rsid w:val="560503FD"/>
    <w:rsid w:val="560604C8"/>
    <w:rsid w:val="56083C42"/>
    <w:rsid w:val="560B32FF"/>
    <w:rsid w:val="560F1F46"/>
    <w:rsid w:val="56121E7C"/>
    <w:rsid w:val="56180F43"/>
    <w:rsid w:val="56184D1D"/>
    <w:rsid w:val="561A260B"/>
    <w:rsid w:val="561D6227"/>
    <w:rsid w:val="561D7105"/>
    <w:rsid w:val="561F158F"/>
    <w:rsid w:val="56201E73"/>
    <w:rsid w:val="5622111C"/>
    <w:rsid w:val="5623264C"/>
    <w:rsid w:val="562330BA"/>
    <w:rsid w:val="56233562"/>
    <w:rsid w:val="56255688"/>
    <w:rsid w:val="56270945"/>
    <w:rsid w:val="56271A0E"/>
    <w:rsid w:val="56283A9C"/>
    <w:rsid w:val="562A2900"/>
    <w:rsid w:val="562B5F32"/>
    <w:rsid w:val="5631303E"/>
    <w:rsid w:val="56326046"/>
    <w:rsid w:val="56345D96"/>
    <w:rsid w:val="563520B5"/>
    <w:rsid w:val="56372604"/>
    <w:rsid w:val="56406958"/>
    <w:rsid w:val="5645238C"/>
    <w:rsid w:val="56495707"/>
    <w:rsid w:val="56497B02"/>
    <w:rsid w:val="564B1A49"/>
    <w:rsid w:val="564B7DE7"/>
    <w:rsid w:val="564D014C"/>
    <w:rsid w:val="564F3A69"/>
    <w:rsid w:val="56506C1D"/>
    <w:rsid w:val="56521230"/>
    <w:rsid w:val="56525E9F"/>
    <w:rsid w:val="56545482"/>
    <w:rsid w:val="565726C6"/>
    <w:rsid w:val="565C12FB"/>
    <w:rsid w:val="565D35A1"/>
    <w:rsid w:val="565E32B2"/>
    <w:rsid w:val="56600818"/>
    <w:rsid w:val="56605D4C"/>
    <w:rsid w:val="56626939"/>
    <w:rsid w:val="566508E7"/>
    <w:rsid w:val="566B3899"/>
    <w:rsid w:val="566C2154"/>
    <w:rsid w:val="566D1E1D"/>
    <w:rsid w:val="566E40D3"/>
    <w:rsid w:val="56717521"/>
    <w:rsid w:val="56760B67"/>
    <w:rsid w:val="56797349"/>
    <w:rsid w:val="567D0DEF"/>
    <w:rsid w:val="567E0E35"/>
    <w:rsid w:val="568351E0"/>
    <w:rsid w:val="568C6CA8"/>
    <w:rsid w:val="568E219F"/>
    <w:rsid w:val="56922392"/>
    <w:rsid w:val="56982C9D"/>
    <w:rsid w:val="569969F1"/>
    <w:rsid w:val="569D1986"/>
    <w:rsid w:val="56A0357F"/>
    <w:rsid w:val="56A34D34"/>
    <w:rsid w:val="56A374E1"/>
    <w:rsid w:val="56A431A0"/>
    <w:rsid w:val="56A456FF"/>
    <w:rsid w:val="56AC7E6C"/>
    <w:rsid w:val="56AD354D"/>
    <w:rsid w:val="56AF6E69"/>
    <w:rsid w:val="56B169CA"/>
    <w:rsid w:val="56B2503E"/>
    <w:rsid w:val="56B2596F"/>
    <w:rsid w:val="56B54449"/>
    <w:rsid w:val="56B94EB9"/>
    <w:rsid w:val="56BA6BB6"/>
    <w:rsid w:val="56C145E9"/>
    <w:rsid w:val="56C32065"/>
    <w:rsid w:val="56C45B74"/>
    <w:rsid w:val="56C50133"/>
    <w:rsid w:val="56C9513F"/>
    <w:rsid w:val="56CD6B57"/>
    <w:rsid w:val="56CE3F44"/>
    <w:rsid w:val="56CF66F0"/>
    <w:rsid w:val="56D04434"/>
    <w:rsid w:val="56D51825"/>
    <w:rsid w:val="56D83EE4"/>
    <w:rsid w:val="56D87B1E"/>
    <w:rsid w:val="56DB1D10"/>
    <w:rsid w:val="56DB3A35"/>
    <w:rsid w:val="56DD1E0B"/>
    <w:rsid w:val="56DE40C2"/>
    <w:rsid w:val="56E05305"/>
    <w:rsid w:val="56E205E6"/>
    <w:rsid w:val="56E83675"/>
    <w:rsid w:val="56E86C82"/>
    <w:rsid w:val="56E94460"/>
    <w:rsid w:val="56ED31B5"/>
    <w:rsid w:val="56EE1DEE"/>
    <w:rsid w:val="56EE2015"/>
    <w:rsid w:val="56EF052C"/>
    <w:rsid w:val="56EF0AF4"/>
    <w:rsid w:val="56F011E4"/>
    <w:rsid w:val="56F0147A"/>
    <w:rsid w:val="56F0340C"/>
    <w:rsid w:val="56F45164"/>
    <w:rsid w:val="56F72920"/>
    <w:rsid w:val="56FD6684"/>
    <w:rsid w:val="570168A4"/>
    <w:rsid w:val="57031086"/>
    <w:rsid w:val="5705478B"/>
    <w:rsid w:val="57070CCC"/>
    <w:rsid w:val="570E0CD2"/>
    <w:rsid w:val="570E0DE1"/>
    <w:rsid w:val="571044BE"/>
    <w:rsid w:val="57135C65"/>
    <w:rsid w:val="57142EC0"/>
    <w:rsid w:val="57171D59"/>
    <w:rsid w:val="57183BF4"/>
    <w:rsid w:val="57184100"/>
    <w:rsid w:val="57197A86"/>
    <w:rsid w:val="571C006B"/>
    <w:rsid w:val="571F1692"/>
    <w:rsid w:val="572054A3"/>
    <w:rsid w:val="57227A40"/>
    <w:rsid w:val="57240F93"/>
    <w:rsid w:val="57250A72"/>
    <w:rsid w:val="57251E81"/>
    <w:rsid w:val="57254D87"/>
    <w:rsid w:val="572651BD"/>
    <w:rsid w:val="57273BD1"/>
    <w:rsid w:val="572A4FE1"/>
    <w:rsid w:val="572C20E5"/>
    <w:rsid w:val="572D2260"/>
    <w:rsid w:val="572E772C"/>
    <w:rsid w:val="572F605D"/>
    <w:rsid w:val="57352D33"/>
    <w:rsid w:val="57357F6F"/>
    <w:rsid w:val="57383C83"/>
    <w:rsid w:val="573A6154"/>
    <w:rsid w:val="573B315D"/>
    <w:rsid w:val="573F179B"/>
    <w:rsid w:val="574108C3"/>
    <w:rsid w:val="57444763"/>
    <w:rsid w:val="5746015A"/>
    <w:rsid w:val="57482ABD"/>
    <w:rsid w:val="574968A6"/>
    <w:rsid w:val="574A5C89"/>
    <w:rsid w:val="574B55A7"/>
    <w:rsid w:val="574C081E"/>
    <w:rsid w:val="57515687"/>
    <w:rsid w:val="5752330A"/>
    <w:rsid w:val="5754232C"/>
    <w:rsid w:val="57546EB8"/>
    <w:rsid w:val="575E5A0D"/>
    <w:rsid w:val="57604515"/>
    <w:rsid w:val="576162E2"/>
    <w:rsid w:val="5764444D"/>
    <w:rsid w:val="57681FA4"/>
    <w:rsid w:val="57693BD1"/>
    <w:rsid w:val="576B180A"/>
    <w:rsid w:val="577149CC"/>
    <w:rsid w:val="57733C24"/>
    <w:rsid w:val="57764F4E"/>
    <w:rsid w:val="57784D01"/>
    <w:rsid w:val="577929D6"/>
    <w:rsid w:val="57795C56"/>
    <w:rsid w:val="57796A8A"/>
    <w:rsid w:val="577A3DC1"/>
    <w:rsid w:val="577C1C91"/>
    <w:rsid w:val="57845CEA"/>
    <w:rsid w:val="578806A8"/>
    <w:rsid w:val="578B6271"/>
    <w:rsid w:val="578B6E6F"/>
    <w:rsid w:val="578B798A"/>
    <w:rsid w:val="578E3884"/>
    <w:rsid w:val="57903504"/>
    <w:rsid w:val="5791278A"/>
    <w:rsid w:val="57916565"/>
    <w:rsid w:val="57935E61"/>
    <w:rsid w:val="57957F2C"/>
    <w:rsid w:val="579A4131"/>
    <w:rsid w:val="579B0626"/>
    <w:rsid w:val="579B1551"/>
    <w:rsid w:val="579C5923"/>
    <w:rsid w:val="57A0463C"/>
    <w:rsid w:val="57A13630"/>
    <w:rsid w:val="57A14E21"/>
    <w:rsid w:val="57A23B14"/>
    <w:rsid w:val="57A5041C"/>
    <w:rsid w:val="57A959C6"/>
    <w:rsid w:val="57AA0A3F"/>
    <w:rsid w:val="57AF7A18"/>
    <w:rsid w:val="57B12A85"/>
    <w:rsid w:val="57B23728"/>
    <w:rsid w:val="57B33BC2"/>
    <w:rsid w:val="57B5012D"/>
    <w:rsid w:val="57B558DE"/>
    <w:rsid w:val="57B61AC9"/>
    <w:rsid w:val="57B61DA9"/>
    <w:rsid w:val="57B652BE"/>
    <w:rsid w:val="57BD7EAA"/>
    <w:rsid w:val="57BE20F2"/>
    <w:rsid w:val="57C11E26"/>
    <w:rsid w:val="57C420B4"/>
    <w:rsid w:val="57C420D2"/>
    <w:rsid w:val="57C574B8"/>
    <w:rsid w:val="57C763E5"/>
    <w:rsid w:val="57C8379B"/>
    <w:rsid w:val="57C94D6A"/>
    <w:rsid w:val="57C97951"/>
    <w:rsid w:val="57CB1B58"/>
    <w:rsid w:val="57CC059D"/>
    <w:rsid w:val="57CF3C04"/>
    <w:rsid w:val="57D509D2"/>
    <w:rsid w:val="57D575CF"/>
    <w:rsid w:val="57D83EC9"/>
    <w:rsid w:val="57D86CB5"/>
    <w:rsid w:val="57DD4831"/>
    <w:rsid w:val="57E0200C"/>
    <w:rsid w:val="57E326D3"/>
    <w:rsid w:val="57E4232E"/>
    <w:rsid w:val="57EC0FDC"/>
    <w:rsid w:val="57ED2E7B"/>
    <w:rsid w:val="57F12F40"/>
    <w:rsid w:val="57F26BF6"/>
    <w:rsid w:val="57F30170"/>
    <w:rsid w:val="57F40951"/>
    <w:rsid w:val="57F67CA5"/>
    <w:rsid w:val="57F758EE"/>
    <w:rsid w:val="57FB60FD"/>
    <w:rsid w:val="57FD033D"/>
    <w:rsid w:val="58065925"/>
    <w:rsid w:val="580849D3"/>
    <w:rsid w:val="5809722D"/>
    <w:rsid w:val="58107986"/>
    <w:rsid w:val="581249E7"/>
    <w:rsid w:val="58171773"/>
    <w:rsid w:val="58172A44"/>
    <w:rsid w:val="58193049"/>
    <w:rsid w:val="581A5385"/>
    <w:rsid w:val="581A7FF2"/>
    <w:rsid w:val="581D30E7"/>
    <w:rsid w:val="58203A9C"/>
    <w:rsid w:val="5821462B"/>
    <w:rsid w:val="58234772"/>
    <w:rsid w:val="58237BD7"/>
    <w:rsid w:val="582A2504"/>
    <w:rsid w:val="582B1A4E"/>
    <w:rsid w:val="582C506A"/>
    <w:rsid w:val="582C68E8"/>
    <w:rsid w:val="58305D90"/>
    <w:rsid w:val="58325BB3"/>
    <w:rsid w:val="583D2CF8"/>
    <w:rsid w:val="5842314C"/>
    <w:rsid w:val="58435372"/>
    <w:rsid w:val="58452516"/>
    <w:rsid w:val="58457BD4"/>
    <w:rsid w:val="58466588"/>
    <w:rsid w:val="584F2386"/>
    <w:rsid w:val="584F3F79"/>
    <w:rsid w:val="585432E9"/>
    <w:rsid w:val="585A3143"/>
    <w:rsid w:val="585B48C7"/>
    <w:rsid w:val="585E2488"/>
    <w:rsid w:val="585E378A"/>
    <w:rsid w:val="586017C9"/>
    <w:rsid w:val="58611A6D"/>
    <w:rsid w:val="58640FBD"/>
    <w:rsid w:val="58642935"/>
    <w:rsid w:val="58654FAE"/>
    <w:rsid w:val="58667F80"/>
    <w:rsid w:val="58691F4C"/>
    <w:rsid w:val="586B672F"/>
    <w:rsid w:val="586C2ABE"/>
    <w:rsid w:val="586E093D"/>
    <w:rsid w:val="586F5CFE"/>
    <w:rsid w:val="58714A21"/>
    <w:rsid w:val="58750AE3"/>
    <w:rsid w:val="587B7928"/>
    <w:rsid w:val="587D572D"/>
    <w:rsid w:val="58824209"/>
    <w:rsid w:val="588276EF"/>
    <w:rsid w:val="58834621"/>
    <w:rsid w:val="5884141C"/>
    <w:rsid w:val="58860C34"/>
    <w:rsid w:val="58870F94"/>
    <w:rsid w:val="58871A34"/>
    <w:rsid w:val="58880B48"/>
    <w:rsid w:val="58883729"/>
    <w:rsid w:val="58886E41"/>
    <w:rsid w:val="588959DF"/>
    <w:rsid w:val="588B16A5"/>
    <w:rsid w:val="588C045D"/>
    <w:rsid w:val="58911416"/>
    <w:rsid w:val="589330A5"/>
    <w:rsid w:val="58942B59"/>
    <w:rsid w:val="58972651"/>
    <w:rsid w:val="589847DA"/>
    <w:rsid w:val="58991518"/>
    <w:rsid w:val="589D31C8"/>
    <w:rsid w:val="589F0A83"/>
    <w:rsid w:val="58A33AF5"/>
    <w:rsid w:val="58B13FFA"/>
    <w:rsid w:val="58B27038"/>
    <w:rsid w:val="58B73191"/>
    <w:rsid w:val="58B90B5D"/>
    <w:rsid w:val="58BA205D"/>
    <w:rsid w:val="58BB068B"/>
    <w:rsid w:val="58BC6A52"/>
    <w:rsid w:val="58BD0B06"/>
    <w:rsid w:val="58BD1FE4"/>
    <w:rsid w:val="58BE7DDA"/>
    <w:rsid w:val="58BF0DD2"/>
    <w:rsid w:val="58BF3ACD"/>
    <w:rsid w:val="58BF4C56"/>
    <w:rsid w:val="58C07B01"/>
    <w:rsid w:val="58C21118"/>
    <w:rsid w:val="58C27F05"/>
    <w:rsid w:val="58C41CA7"/>
    <w:rsid w:val="58C4763C"/>
    <w:rsid w:val="58C71145"/>
    <w:rsid w:val="58C7308F"/>
    <w:rsid w:val="58C85F29"/>
    <w:rsid w:val="58CB6D31"/>
    <w:rsid w:val="58D14D3D"/>
    <w:rsid w:val="58D239E8"/>
    <w:rsid w:val="58D3171B"/>
    <w:rsid w:val="58D41EDC"/>
    <w:rsid w:val="58D52165"/>
    <w:rsid w:val="58D60E53"/>
    <w:rsid w:val="58D835B1"/>
    <w:rsid w:val="58D8421E"/>
    <w:rsid w:val="58DC5358"/>
    <w:rsid w:val="58DC6A25"/>
    <w:rsid w:val="58DF4005"/>
    <w:rsid w:val="58E314DA"/>
    <w:rsid w:val="58E56504"/>
    <w:rsid w:val="58EA264B"/>
    <w:rsid w:val="58EB7A71"/>
    <w:rsid w:val="58ED19CA"/>
    <w:rsid w:val="58EF6A44"/>
    <w:rsid w:val="58F55B80"/>
    <w:rsid w:val="58F75ADC"/>
    <w:rsid w:val="58F91F08"/>
    <w:rsid w:val="58F94E46"/>
    <w:rsid w:val="58FB306D"/>
    <w:rsid w:val="58FF3CD9"/>
    <w:rsid w:val="59015E05"/>
    <w:rsid w:val="59021CE1"/>
    <w:rsid w:val="590312E7"/>
    <w:rsid w:val="59034487"/>
    <w:rsid w:val="5904343E"/>
    <w:rsid w:val="59043C87"/>
    <w:rsid w:val="59050CB8"/>
    <w:rsid w:val="590519F2"/>
    <w:rsid w:val="5906270A"/>
    <w:rsid w:val="590A0683"/>
    <w:rsid w:val="59122BE4"/>
    <w:rsid w:val="59151271"/>
    <w:rsid w:val="5917446D"/>
    <w:rsid w:val="59177651"/>
    <w:rsid w:val="591B5277"/>
    <w:rsid w:val="591E2766"/>
    <w:rsid w:val="59200AE9"/>
    <w:rsid w:val="59230583"/>
    <w:rsid w:val="59247008"/>
    <w:rsid w:val="5927607E"/>
    <w:rsid w:val="59294B50"/>
    <w:rsid w:val="592B5CAC"/>
    <w:rsid w:val="592E23CE"/>
    <w:rsid w:val="592E79CA"/>
    <w:rsid w:val="59305214"/>
    <w:rsid w:val="59316FEB"/>
    <w:rsid w:val="59331DA8"/>
    <w:rsid w:val="593458FC"/>
    <w:rsid w:val="59347FF4"/>
    <w:rsid w:val="59352A93"/>
    <w:rsid w:val="59370313"/>
    <w:rsid w:val="593732E9"/>
    <w:rsid w:val="593A6A70"/>
    <w:rsid w:val="593B0789"/>
    <w:rsid w:val="593D6CC6"/>
    <w:rsid w:val="593F6C39"/>
    <w:rsid w:val="594117BC"/>
    <w:rsid w:val="59421227"/>
    <w:rsid w:val="59422BBD"/>
    <w:rsid w:val="59434BBA"/>
    <w:rsid w:val="59474827"/>
    <w:rsid w:val="59486849"/>
    <w:rsid w:val="594C333F"/>
    <w:rsid w:val="594D69BD"/>
    <w:rsid w:val="59530095"/>
    <w:rsid w:val="595672FF"/>
    <w:rsid w:val="5959589B"/>
    <w:rsid w:val="59610F19"/>
    <w:rsid w:val="596214AD"/>
    <w:rsid w:val="596263DF"/>
    <w:rsid w:val="59644D4D"/>
    <w:rsid w:val="59651A0E"/>
    <w:rsid w:val="596C44FC"/>
    <w:rsid w:val="596C53F3"/>
    <w:rsid w:val="596D0D8F"/>
    <w:rsid w:val="596D2B57"/>
    <w:rsid w:val="596E46D7"/>
    <w:rsid w:val="5973575E"/>
    <w:rsid w:val="59780FE7"/>
    <w:rsid w:val="5978605F"/>
    <w:rsid w:val="5979222E"/>
    <w:rsid w:val="597A1B72"/>
    <w:rsid w:val="597C24C7"/>
    <w:rsid w:val="597C26BD"/>
    <w:rsid w:val="597C3252"/>
    <w:rsid w:val="597C44FA"/>
    <w:rsid w:val="597E68A0"/>
    <w:rsid w:val="597F5F01"/>
    <w:rsid w:val="598055C7"/>
    <w:rsid w:val="598110DA"/>
    <w:rsid w:val="59824A9D"/>
    <w:rsid w:val="59885B03"/>
    <w:rsid w:val="59891392"/>
    <w:rsid w:val="598C6BF8"/>
    <w:rsid w:val="598D0D9D"/>
    <w:rsid w:val="5991051B"/>
    <w:rsid w:val="599108D7"/>
    <w:rsid w:val="59920977"/>
    <w:rsid w:val="5992120B"/>
    <w:rsid w:val="599361E9"/>
    <w:rsid w:val="59941424"/>
    <w:rsid w:val="59980F19"/>
    <w:rsid w:val="599B6FDD"/>
    <w:rsid w:val="599C0925"/>
    <w:rsid w:val="599D31CC"/>
    <w:rsid w:val="599D4966"/>
    <w:rsid w:val="599E085E"/>
    <w:rsid w:val="59A26ED7"/>
    <w:rsid w:val="59A5362F"/>
    <w:rsid w:val="59A60F65"/>
    <w:rsid w:val="59A951A5"/>
    <w:rsid w:val="59AB55CE"/>
    <w:rsid w:val="59AC4ACB"/>
    <w:rsid w:val="59AE7DB4"/>
    <w:rsid w:val="59B14BFD"/>
    <w:rsid w:val="59B7663F"/>
    <w:rsid w:val="59B850D7"/>
    <w:rsid w:val="59BA301E"/>
    <w:rsid w:val="59BA32AB"/>
    <w:rsid w:val="59BF4F93"/>
    <w:rsid w:val="59BF620C"/>
    <w:rsid w:val="59C36285"/>
    <w:rsid w:val="59C44886"/>
    <w:rsid w:val="59C5021F"/>
    <w:rsid w:val="59C51769"/>
    <w:rsid w:val="59C602A0"/>
    <w:rsid w:val="59C63954"/>
    <w:rsid w:val="59CA78CA"/>
    <w:rsid w:val="59CE0E2E"/>
    <w:rsid w:val="59D00D5F"/>
    <w:rsid w:val="59D46B79"/>
    <w:rsid w:val="59D82CBA"/>
    <w:rsid w:val="59E24E9A"/>
    <w:rsid w:val="59E369FE"/>
    <w:rsid w:val="59E418F2"/>
    <w:rsid w:val="59E42BD2"/>
    <w:rsid w:val="59E50BB2"/>
    <w:rsid w:val="59E51867"/>
    <w:rsid w:val="59E802DF"/>
    <w:rsid w:val="59E90BBC"/>
    <w:rsid w:val="59E9403E"/>
    <w:rsid w:val="59EC55D5"/>
    <w:rsid w:val="59EF648B"/>
    <w:rsid w:val="59F1612A"/>
    <w:rsid w:val="59F35A65"/>
    <w:rsid w:val="59FB214A"/>
    <w:rsid w:val="59FC7229"/>
    <w:rsid w:val="59FD50C2"/>
    <w:rsid w:val="59FE35D0"/>
    <w:rsid w:val="59FE3882"/>
    <w:rsid w:val="59FF5C4A"/>
    <w:rsid w:val="5A022F71"/>
    <w:rsid w:val="5A030381"/>
    <w:rsid w:val="5A043261"/>
    <w:rsid w:val="5A0458F9"/>
    <w:rsid w:val="5A083B1D"/>
    <w:rsid w:val="5A0E556D"/>
    <w:rsid w:val="5A0F1BAC"/>
    <w:rsid w:val="5A1036D7"/>
    <w:rsid w:val="5A1130E5"/>
    <w:rsid w:val="5A144962"/>
    <w:rsid w:val="5A154A28"/>
    <w:rsid w:val="5A1608EF"/>
    <w:rsid w:val="5A190DCE"/>
    <w:rsid w:val="5A1A0D93"/>
    <w:rsid w:val="5A1A1BB6"/>
    <w:rsid w:val="5A1B0E2A"/>
    <w:rsid w:val="5A1D0F9E"/>
    <w:rsid w:val="5A1D3049"/>
    <w:rsid w:val="5A1E433B"/>
    <w:rsid w:val="5A1F1923"/>
    <w:rsid w:val="5A217877"/>
    <w:rsid w:val="5A252A03"/>
    <w:rsid w:val="5A2540AE"/>
    <w:rsid w:val="5A26389D"/>
    <w:rsid w:val="5A2779D5"/>
    <w:rsid w:val="5A2B6C5C"/>
    <w:rsid w:val="5A2F51B4"/>
    <w:rsid w:val="5A344B0A"/>
    <w:rsid w:val="5A35314B"/>
    <w:rsid w:val="5A372142"/>
    <w:rsid w:val="5A382988"/>
    <w:rsid w:val="5A3879A1"/>
    <w:rsid w:val="5A4275FD"/>
    <w:rsid w:val="5A442F57"/>
    <w:rsid w:val="5A446202"/>
    <w:rsid w:val="5A484553"/>
    <w:rsid w:val="5A490003"/>
    <w:rsid w:val="5A492BC3"/>
    <w:rsid w:val="5A496EFE"/>
    <w:rsid w:val="5A4C15A9"/>
    <w:rsid w:val="5A4D1173"/>
    <w:rsid w:val="5A4E7F6A"/>
    <w:rsid w:val="5A5064EF"/>
    <w:rsid w:val="5A5355C1"/>
    <w:rsid w:val="5A544732"/>
    <w:rsid w:val="5A556BFF"/>
    <w:rsid w:val="5A576802"/>
    <w:rsid w:val="5A577C01"/>
    <w:rsid w:val="5A5A4AF3"/>
    <w:rsid w:val="5A5D6A96"/>
    <w:rsid w:val="5A626CB7"/>
    <w:rsid w:val="5A646173"/>
    <w:rsid w:val="5A657970"/>
    <w:rsid w:val="5A662413"/>
    <w:rsid w:val="5A672AF0"/>
    <w:rsid w:val="5A6C37B8"/>
    <w:rsid w:val="5A6F07DE"/>
    <w:rsid w:val="5A6F534C"/>
    <w:rsid w:val="5A742C83"/>
    <w:rsid w:val="5A750AE9"/>
    <w:rsid w:val="5A773454"/>
    <w:rsid w:val="5A7A4885"/>
    <w:rsid w:val="5A7A50DC"/>
    <w:rsid w:val="5A7E091C"/>
    <w:rsid w:val="5A7E3854"/>
    <w:rsid w:val="5A8632B7"/>
    <w:rsid w:val="5A863641"/>
    <w:rsid w:val="5A867B43"/>
    <w:rsid w:val="5A882426"/>
    <w:rsid w:val="5A8B5A51"/>
    <w:rsid w:val="5A8C3889"/>
    <w:rsid w:val="5A8F0B6E"/>
    <w:rsid w:val="5A8F53D6"/>
    <w:rsid w:val="5A9052BA"/>
    <w:rsid w:val="5A934BC0"/>
    <w:rsid w:val="5A9433BD"/>
    <w:rsid w:val="5A982F5D"/>
    <w:rsid w:val="5A9A4BA1"/>
    <w:rsid w:val="5A9B04FE"/>
    <w:rsid w:val="5A9C6E08"/>
    <w:rsid w:val="5AA01371"/>
    <w:rsid w:val="5AA11A44"/>
    <w:rsid w:val="5AA13B60"/>
    <w:rsid w:val="5AA426B0"/>
    <w:rsid w:val="5AA53A50"/>
    <w:rsid w:val="5AA60BDB"/>
    <w:rsid w:val="5AAA3749"/>
    <w:rsid w:val="5AAA3E6B"/>
    <w:rsid w:val="5AAB1C8F"/>
    <w:rsid w:val="5AAE1CE5"/>
    <w:rsid w:val="5AAF48B2"/>
    <w:rsid w:val="5AB35B05"/>
    <w:rsid w:val="5AB621C6"/>
    <w:rsid w:val="5AB64271"/>
    <w:rsid w:val="5AB75D71"/>
    <w:rsid w:val="5ABA56C9"/>
    <w:rsid w:val="5ABE3EC6"/>
    <w:rsid w:val="5ABF386E"/>
    <w:rsid w:val="5ABF47C9"/>
    <w:rsid w:val="5AC71928"/>
    <w:rsid w:val="5AC8197F"/>
    <w:rsid w:val="5ACD6170"/>
    <w:rsid w:val="5ACF333D"/>
    <w:rsid w:val="5AD07E5F"/>
    <w:rsid w:val="5AD2060C"/>
    <w:rsid w:val="5AD376BC"/>
    <w:rsid w:val="5AD5365C"/>
    <w:rsid w:val="5AD62A05"/>
    <w:rsid w:val="5AD80058"/>
    <w:rsid w:val="5AD81B9C"/>
    <w:rsid w:val="5AD83118"/>
    <w:rsid w:val="5ADF562F"/>
    <w:rsid w:val="5AEA7BD0"/>
    <w:rsid w:val="5AEB0AAA"/>
    <w:rsid w:val="5AEE579C"/>
    <w:rsid w:val="5AEF5AAA"/>
    <w:rsid w:val="5AF43994"/>
    <w:rsid w:val="5AF53574"/>
    <w:rsid w:val="5AF56FA3"/>
    <w:rsid w:val="5AF71584"/>
    <w:rsid w:val="5AF805BC"/>
    <w:rsid w:val="5AFB529F"/>
    <w:rsid w:val="5AFD316E"/>
    <w:rsid w:val="5B022565"/>
    <w:rsid w:val="5B047D03"/>
    <w:rsid w:val="5B05215B"/>
    <w:rsid w:val="5B05639C"/>
    <w:rsid w:val="5B062015"/>
    <w:rsid w:val="5B0C7856"/>
    <w:rsid w:val="5B0F2B92"/>
    <w:rsid w:val="5B16148B"/>
    <w:rsid w:val="5B191494"/>
    <w:rsid w:val="5B1D5B5E"/>
    <w:rsid w:val="5B21305D"/>
    <w:rsid w:val="5B226025"/>
    <w:rsid w:val="5B25144F"/>
    <w:rsid w:val="5B257333"/>
    <w:rsid w:val="5B2731DE"/>
    <w:rsid w:val="5B291BAF"/>
    <w:rsid w:val="5B2E5E0A"/>
    <w:rsid w:val="5B3142A6"/>
    <w:rsid w:val="5B3501A5"/>
    <w:rsid w:val="5B356BAD"/>
    <w:rsid w:val="5B386EB9"/>
    <w:rsid w:val="5B387F1F"/>
    <w:rsid w:val="5B3C2DC2"/>
    <w:rsid w:val="5B3F4E81"/>
    <w:rsid w:val="5B4046E8"/>
    <w:rsid w:val="5B490D61"/>
    <w:rsid w:val="5B4A06CB"/>
    <w:rsid w:val="5B4A420A"/>
    <w:rsid w:val="5B4A7688"/>
    <w:rsid w:val="5B4B08D5"/>
    <w:rsid w:val="5B4B5D46"/>
    <w:rsid w:val="5B4B7DEC"/>
    <w:rsid w:val="5B4F2BCC"/>
    <w:rsid w:val="5B502974"/>
    <w:rsid w:val="5B52116D"/>
    <w:rsid w:val="5B532A04"/>
    <w:rsid w:val="5B54365F"/>
    <w:rsid w:val="5B545C41"/>
    <w:rsid w:val="5B552A96"/>
    <w:rsid w:val="5B5603EA"/>
    <w:rsid w:val="5B5723D8"/>
    <w:rsid w:val="5B573ECB"/>
    <w:rsid w:val="5B582A0C"/>
    <w:rsid w:val="5B5861EF"/>
    <w:rsid w:val="5B591673"/>
    <w:rsid w:val="5B595B03"/>
    <w:rsid w:val="5B5D53CA"/>
    <w:rsid w:val="5B5F0041"/>
    <w:rsid w:val="5B5F5E9F"/>
    <w:rsid w:val="5B622B3E"/>
    <w:rsid w:val="5B63110C"/>
    <w:rsid w:val="5B6551E3"/>
    <w:rsid w:val="5B6A3582"/>
    <w:rsid w:val="5B6A4095"/>
    <w:rsid w:val="5B7117F0"/>
    <w:rsid w:val="5B717209"/>
    <w:rsid w:val="5B7432E0"/>
    <w:rsid w:val="5B766CE3"/>
    <w:rsid w:val="5B770ACF"/>
    <w:rsid w:val="5B7A32EB"/>
    <w:rsid w:val="5B7A599A"/>
    <w:rsid w:val="5B7C3194"/>
    <w:rsid w:val="5B7F76C6"/>
    <w:rsid w:val="5B840D2F"/>
    <w:rsid w:val="5B8647D7"/>
    <w:rsid w:val="5B87713E"/>
    <w:rsid w:val="5B8A71B1"/>
    <w:rsid w:val="5B8D403A"/>
    <w:rsid w:val="5B941F88"/>
    <w:rsid w:val="5B96690C"/>
    <w:rsid w:val="5B967F57"/>
    <w:rsid w:val="5B9766B7"/>
    <w:rsid w:val="5B980AC5"/>
    <w:rsid w:val="5B9842A0"/>
    <w:rsid w:val="5B990D2F"/>
    <w:rsid w:val="5BA22914"/>
    <w:rsid w:val="5BA704D0"/>
    <w:rsid w:val="5BA808B0"/>
    <w:rsid w:val="5BA8557B"/>
    <w:rsid w:val="5BA85E89"/>
    <w:rsid w:val="5BA911D8"/>
    <w:rsid w:val="5BAB5686"/>
    <w:rsid w:val="5BAC49B3"/>
    <w:rsid w:val="5BAC52AF"/>
    <w:rsid w:val="5BB136C7"/>
    <w:rsid w:val="5BB14968"/>
    <w:rsid w:val="5BB36D6C"/>
    <w:rsid w:val="5BB56D93"/>
    <w:rsid w:val="5BB663E9"/>
    <w:rsid w:val="5BB700C3"/>
    <w:rsid w:val="5BB748C3"/>
    <w:rsid w:val="5BB95996"/>
    <w:rsid w:val="5BBB2C92"/>
    <w:rsid w:val="5BBC03A2"/>
    <w:rsid w:val="5BBD639F"/>
    <w:rsid w:val="5BBE1B96"/>
    <w:rsid w:val="5BBE5002"/>
    <w:rsid w:val="5BC14DC9"/>
    <w:rsid w:val="5BC17623"/>
    <w:rsid w:val="5BCA0FF2"/>
    <w:rsid w:val="5BCD375F"/>
    <w:rsid w:val="5BCD4C67"/>
    <w:rsid w:val="5BCF02CA"/>
    <w:rsid w:val="5BCF5AC5"/>
    <w:rsid w:val="5BCF74B6"/>
    <w:rsid w:val="5BD24E3A"/>
    <w:rsid w:val="5BD27F27"/>
    <w:rsid w:val="5BD65CFD"/>
    <w:rsid w:val="5BD703DF"/>
    <w:rsid w:val="5BD9556A"/>
    <w:rsid w:val="5BDB6CD6"/>
    <w:rsid w:val="5BDD4325"/>
    <w:rsid w:val="5BE019C1"/>
    <w:rsid w:val="5BEB2994"/>
    <w:rsid w:val="5BED7E70"/>
    <w:rsid w:val="5BEE4772"/>
    <w:rsid w:val="5BEE67E8"/>
    <w:rsid w:val="5BEF4C38"/>
    <w:rsid w:val="5BF61DB6"/>
    <w:rsid w:val="5BF9183A"/>
    <w:rsid w:val="5BFD2F12"/>
    <w:rsid w:val="5BFE6275"/>
    <w:rsid w:val="5C030397"/>
    <w:rsid w:val="5C066253"/>
    <w:rsid w:val="5C06767B"/>
    <w:rsid w:val="5C0704BB"/>
    <w:rsid w:val="5C135046"/>
    <w:rsid w:val="5C1637D6"/>
    <w:rsid w:val="5C190727"/>
    <w:rsid w:val="5C1911E5"/>
    <w:rsid w:val="5C191BDC"/>
    <w:rsid w:val="5C1E3237"/>
    <w:rsid w:val="5C1E7D9D"/>
    <w:rsid w:val="5C203CDD"/>
    <w:rsid w:val="5C205E46"/>
    <w:rsid w:val="5C2560CE"/>
    <w:rsid w:val="5C275DC1"/>
    <w:rsid w:val="5C2807F4"/>
    <w:rsid w:val="5C2C2A89"/>
    <w:rsid w:val="5C2C401D"/>
    <w:rsid w:val="5C307683"/>
    <w:rsid w:val="5C325427"/>
    <w:rsid w:val="5C345E8C"/>
    <w:rsid w:val="5C350A72"/>
    <w:rsid w:val="5C377AD1"/>
    <w:rsid w:val="5C3963B7"/>
    <w:rsid w:val="5C3C0F9E"/>
    <w:rsid w:val="5C3D0D37"/>
    <w:rsid w:val="5C42014C"/>
    <w:rsid w:val="5C437C29"/>
    <w:rsid w:val="5C441C2D"/>
    <w:rsid w:val="5C445062"/>
    <w:rsid w:val="5C4526D2"/>
    <w:rsid w:val="5C4733F8"/>
    <w:rsid w:val="5C49690E"/>
    <w:rsid w:val="5C4E2898"/>
    <w:rsid w:val="5C504D28"/>
    <w:rsid w:val="5C5156DF"/>
    <w:rsid w:val="5C517548"/>
    <w:rsid w:val="5C535506"/>
    <w:rsid w:val="5C552905"/>
    <w:rsid w:val="5C553CB6"/>
    <w:rsid w:val="5C5F61C2"/>
    <w:rsid w:val="5C606F0F"/>
    <w:rsid w:val="5C61452B"/>
    <w:rsid w:val="5C637C9C"/>
    <w:rsid w:val="5C6421E4"/>
    <w:rsid w:val="5C6B3153"/>
    <w:rsid w:val="5C7609C1"/>
    <w:rsid w:val="5C7656CC"/>
    <w:rsid w:val="5C790243"/>
    <w:rsid w:val="5C791FB9"/>
    <w:rsid w:val="5C7E1384"/>
    <w:rsid w:val="5C803989"/>
    <w:rsid w:val="5C825AEC"/>
    <w:rsid w:val="5C87026C"/>
    <w:rsid w:val="5C8A24E4"/>
    <w:rsid w:val="5C8B5599"/>
    <w:rsid w:val="5C912A6D"/>
    <w:rsid w:val="5C932DC6"/>
    <w:rsid w:val="5C947804"/>
    <w:rsid w:val="5C970DE5"/>
    <w:rsid w:val="5C9B5B07"/>
    <w:rsid w:val="5C9D5A9B"/>
    <w:rsid w:val="5C9E4402"/>
    <w:rsid w:val="5CA07233"/>
    <w:rsid w:val="5CA31748"/>
    <w:rsid w:val="5CA719C8"/>
    <w:rsid w:val="5CA92082"/>
    <w:rsid w:val="5CAA1130"/>
    <w:rsid w:val="5CAB594C"/>
    <w:rsid w:val="5CB00799"/>
    <w:rsid w:val="5CB54DA9"/>
    <w:rsid w:val="5CB97C07"/>
    <w:rsid w:val="5CBA3193"/>
    <w:rsid w:val="5CC17FB3"/>
    <w:rsid w:val="5CC61391"/>
    <w:rsid w:val="5CC65E02"/>
    <w:rsid w:val="5CC71DE2"/>
    <w:rsid w:val="5CCA6F9A"/>
    <w:rsid w:val="5CCB6CAC"/>
    <w:rsid w:val="5CCF2035"/>
    <w:rsid w:val="5CD00218"/>
    <w:rsid w:val="5CD271E2"/>
    <w:rsid w:val="5CD40D70"/>
    <w:rsid w:val="5CD557B2"/>
    <w:rsid w:val="5CD56C35"/>
    <w:rsid w:val="5CD860C4"/>
    <w:rsid w:val="5CD870B9"/>
    <w:rsid w:val="5CDC3657"/>
    <w:rsid w:val="5CDC7FFC"/>
    <w:rsid w:val="5CDE7EF6"/>
    <w:rsid w:val="5CDF61B8"/>
    <w:rsid w:val="5CE467D0"/>
    <w:rsid w:val="5CE63F55"/>
    <w:rsid w:val="5CEA17AA"/>
    <w:rsid w:val="5CEF41F2"/>
    <w:rsid w:val="5CF47015"/>
    <w:rsid w:val="5CF536C8"/>
    <w:rsid w:val="5CF56D93"/>
    <w:rsid w:val="5CF85C2A"/>
    <w:rsid w:val="5CFA0D04"/>
    <w:rsid w:val="5CFB3E40"/>
    <w:rsid w:val="5CFC7ABD"/>
    <w:rsid w:val="5CFD1D21"/>
    <w:rsid w:val="5D0209C5"/>
    <w:rsid w:val="5D025CBD"/>
    <w:rsid w:val="5D026E5C"/>
    <w:rsid w:val="5D042FC1"/>
    <w:rsid w:val="5D054547"/>
    <w:rsid w:val="5D062579"/>
    <w:rsid w:val="5D0D5FF7"/>
    <w:rsid w:val="5D0E04C5"/>
    <w:rsid w:val="5D0E17EE"/>
    <w:rsid w:val="5D0F3ABE"/>
    <w:rsid w:val="5D1504AF"/>
    <w:rsid w:val="5D175F2C"/>
    <w:rsid w:val="5D1A30EF"/>
    <w:rsid w:val="5D1C5C6C"/>
    <w:rsid w:val="5D226D1A"/>
    <w:rsid w:val="5D244997"/>
    <w:rsid w:val="5D251F1D"/>
    <w:rsid w:val="5D252F7F"/>
    <w:rsid w:val="5D2843C9"/>
    <w:rsid w:val="5D2C3955"/>
    <w:rsid w:val="5D311BB1"/>
    <w:rsid w:val="5D3205D2"/>
    <w:rsid w:val="5D351450"/>
    <w:rsid w:val="5D394473"/>
    <w:rsid w:val="5D3C5EB6"/>
    <w:rsid w:val="5D3C6E05"/>
    <w:rsid w:val="5D3F42F0"/>
    <w:rsid w:val="5D413C8A"/>
    <w:rsid w:val="5D4155B2"/>
    <w:rsid w:val="5D4702BC"/>
    <w:rsid w:val="5D486099"/>
    <w:rsid w:val="5D4917D9"/>
    <w:rsid w:val="5D4C1657"/>
    <w:rsid w:val="5D4D796C"/>
    <w:rsid w:val="5D4E082D"/>
    <w:rsid w:val="5D4E2C00"/>
    <w:rsid w:val="5D4F3F6B"/>
    <w:rsid w:val="5D4F4820"/>
    <w:rsid w:val="5D535B61"/>
    <w:rsid w:val="5D587D9B"/>
    <w:rsid w:val="5D5A4B1F"/>
    <w:rsid w:val="5D5A694B"/>
    <w:rsid w:val="5D5D18A9"/>
    <w:rsid w:val="5D5D28A7"/>
    <w:rsid w:val="5D62301A"/>
    <w:rsid w:val="5D670EFB"/>
    <w:rsid w:val="5D680F5E"/>
    <w:rsid w:val="5D68185A"/>
    <w:rsid w:val="5D693597"/>
    <w:rsid w:val="5D6B5C72"/>
    <w:rsid w:val="5D6C6AA7"/>
    <w:rsid w:val="5D6D319E"/>
    <w:rsid w:val="5D6E72E8"/>
    <w:rsid w:val="5D6F1635"/>
    <w:rsid w:val="5D70116E"/>
    <w:rsid w:val="5D706749"/>
    <w:rsid w:val="5D71749D"/>
    <w:rsid w:val="5D7700E0"/>
    <w:rsid w:val="5D7702A1"/>
    <w:rsid w:val="5D777F8C"/>
    <w:rsid w:val="5D7A54DF"/>
    <w:rsid w:val="5D7C3523"/>
    <w:rsid w:val="5D7C5EC5"/>
    <w:rsid w:val="5D7F0107"/>
    <w:rsid w:val="5D806CD3"/>
    <w:rsid w:val="5D8210EA"/>
    <w:rsid w:val="5D8344C3"/>
    <w:rsid w:val="5D842ABC"/>
    <w:rsid w:val="5D8451F3"/>
    <w:rsid w:val="5D85456F"/>
    <w:rsid w:val="5D8603C2"/>
    <w:rsid w:val="5D867701"/>
    <w:rsid w:val="5D872CD6"/>
    <w:rsid w:val="5D8E5CB6"/>
    <w:rsid w:val="5D904388"/>
    <w:rsid w:val="5D910F63"/>
    <w:rsid w:val="5D934883"/>
    <w:rsid w:val="5D937C18"/>
    <w:rsid w:val="5D9642B6"/>
    <w:rsid w:val="5D99466F"/>
    <w:rsid w:val="5D9A1A0F"/>
    <w:rsid w:val="5D9E4FE1"/>
    <w:rsid w:val="5DA04607"/>
    <w:rsid w:val="5DA23F3B"/>
    <w:rsid w:val="5DA30CEB"/>
    <w:rsid w:val="5DA43650"/>
    <w:rsid w:val="5DA45821"/>
    <w:rsid w:val="5DA45C1A"/>
    <w:rsid w:val="5DA66375"/>
    <w:rsid w:val="5DA742A8"/>
    <w:rsid w:val="5DAB5B9C"/>
    <w:rsid w:val="5DAB6114"/>
    <w:rsid w:val="5DB141A6"/>
    <w:rsid w:val="5DB550AE"/>
    <w:rsid w:val="5DB60552"/>
    <w:rsid w:val="5DB719D2"/>
    <w:rsid w:val="5DBB66D6"/>
    <w:rsid w:val="5DBE63A1"/>
    <w:rsid w:val="5DC2233C"/>
    <w:rsid w:val="5DC30F16"/>
    <w:rsid w:val="5DC509BE"/>
    <w:rsid w:val="5DC777E2"/>
    <w:rsid w:val="5DCE6174"/>
    <w:rsid w:val="5DCF53FA"/>
    <w:rsid w:val="5DD1167E"/>
    <w:rsid w:val="5DD11D4A"/>
    <w:rsid w:val="5DD224D6"/>
    <w:rsid w:val="5DD22727"/>
    <w:rsid w:val="5DD80ECF"/>
    <w:rsid w:val="5DD83FFB"/>
    <w:rsid w:val="5DDB07F1"/>
    <w:rsid w:val="5DDD0E5A"/>
    <w:rsid w:val="5DDD3EF9"/>
    <w:rsid w:val="5DDE65C5"/>
    <w:rsid w:val="5DE23118"/>
    <w:rsid w:val="5DE47C14"/>
    <w:rsid w:val="5DE601BB"/>
    <w:rsid w:val="5DE87077"/>
    <w:rsid w:val="5DE9539A"/>
    <w:rsid w:val="5DEC6F89"/>
    <w:rsid w:val="5DED152C"/>
    <w:rsid w:val="5DED444D"/>
    <w:rsid w:val="5DF43E54"/>
    <w:rsid w:val="5DF46D13"/>
    <w:rsid w:val="5DF605CF"/>
    <w:rsid w:val="5DF61DCB"/>
    <w:rsid w:val="5DF76DD5"/>
    <w:rsid w:val="5DFB0819"/>
    <w:rsid w:val="5DFE4E5D"/>
    <w:rsid w:val="5E0733B4"/>
    <w:rsid w:val="5E073EA9"/>
    <w:rsid w:val="5E0842F0"/>
    <w:rsid w:val="5E09445A"/>
    <w:rsid w:val="5E0C209B"/>
    <w:rsid w:val="5E0E03DC"/>
    <w:rsid w:val="5E0E35D0"/>
    <w:rsid w:val="5E1438C1"/>
    <w:rsid w:val="5E181418"/>
    <w:rsid w:val="5E18457A"/>
    <w:rsid w:val="5E193CAC"/>
    <w:rsid w:val="5E2012F6"/>
    <w:rsid w:val="5E210ED0"/>
    <w:rsid w:val="5E2329E0"/>
    <w:rsid w:val="5E2571DE"/>
    <w:rsid w:val="5E297F9C"/>
    <w:rsid w:val="5E2B45F2"/>
    <w:rsid w:val="5E2C6F30"/>
    <w:rsid w:val="5E2E02A7"/>
    <w:rsid w:val="5E3710C2"/>
    <w:rsid w:val="5E3F004A"/>
    <w:rsid w:val="5E402F74"/>
    <w:rsid w:val="5E461516"/>
    <w:rsid w:val="5E470DFB"/>
    <w:rsid w:val="5E472F60"/>
    <w:rsid w:val="5E4B06E8"/>
    <w:rsid w:val="5E4B1DAD"/>
    <w:rsid w:val="5E4B6058"/>
    <w:rsid w:val="5E4C0CDB"/>
    <w:rsid w:val="5E4C664F"/>
    <w:rsid w:val="5E4F082B"/>
    <w:rsid w:val="5E5073E0"/>
    <w:rsid w:val="5E60274E"/>
    <w:rsid w:val="5E637103"/>
    <w:rsid w:val="5E652769"/>
    <w:rsid w:val="5E6614F2"/>
    <w:rsid w:val="5E66408E"/>
    <w:rsid w:val="5E67308F"/>
    <w:rsid w:val="5E674486"/>
    <w:rsid w:val="5E67653A"/>
    <w:rsid w:val="5E684E59"/>
    <w:rsid w:val="5E687AA3"/>
    <w:rsid w:val="5E6A04FA"/>
    <w:rsid w:val="5E6C755F"/>
    <w:rsid w:val="5E6E4D90"/>
    <w:rsid w:val="5E712349"/>
    <w:rsid w:val="5E735F52"/>
    <w:rsid w:val="5E742E70"/>
    <w:rsid w:val="5E78409B"/>
    <w:rsid w:val="5E7A221D"/>
    <w:rsid w:val="5E7B29D8"/>
    <w:rsid w:val="5E7E0C98"/>
    <w:rsid w:val="5E7E22CD"/>
    <w:rsid w:val="5E7E320C"/>
    <w:rsid w:val="5E8309A0"/>
    <w:rsid w:val="5E841E78"/>
    <w:rsid w:val="5E8A6DEB"/>
    <w:rsid w:val="5E8C1492"/>
    <w:rsid w:val="5E8C3662"/>
    <w:rsid w:val="5E8D5987"/>
    <w:rsid w:val="5E8E05E0"/>
    <w:rsid w:val="5E9438A6"/>
    <w:rsid w:val="5E961D86"/>
    <w:rsid w:val="5E96569F"/>
    <w:rsid w:val="5E9673B2"/>
    <w:rsid w:val="5E993267"/>
    <w:rsid w:val="5E995373"/>
    <w:rsid w:val="5E9F6E4F"/>
    <w:rsid w:val="5EA02E1B"/>
    <w:rsid w:val="5EA0504F"/>
    <w:rsid w:val="5EA45E03"/>
    <w:rsid w:val="5EA51272"/>
    <w:rsid w:val="5EA57A99"/>
    <w:rsid w:val="5EA77DC9"/>
    <w:rsid w:val="5EA823A1"/>
    <w:rsid w:val="5EA84ABF"/>
    <w:rsid w:val="5EAB501E"/>
    <w:rsid w:val="5EAC79ED"/>
    <w:rsid w:val="5EAD4C5D"/>
    <w:rsid w:val="5EAE6705"/>
    <w:rsid w:val="5EAF3499"/>
    <w:rsid w:val="5EB674A9"/>
    <w:rsid w:val="5EB674FA"/>
    <w:rsid w:val="5EBA1C21"/>
    <w:rsid w:val="5EBA43E2"/>
    <w:rsid w:val="5EBC6EAC"/>
    <w:rsid w:val="5EBD21E3"/>
    <w:rsid w:val="5EBE5F5E"/>
    <w:rsid w:val="5EC17A13"/>
    <w:rsid w:val="5EC6306A"/>
    <w:rsid w:val="5ECC452B"/>
    <w:rsid w:val="5ECD67B8"/>
    <w:rsid w:val="5ECD7F5D"/>
    <w:rsid w:val="5ECF1405"/>
    <w:rsid w:val="5ECF2235"/>
    <w:rsid w:val="5ED13217"/>
    <w:rsid w:val="5ED20C83"/>
    <w:rsid w:val="5ED5185B"/>
    <w:rsid w:val="5ED71A6E"/>
    <w:rsid w:val="5ED80AFF"/>
    <w:rsid w:val="5EDE4732"/>
    <w:rsid w:val="5EE011FD"/>
    <w:rsid w:val="5EE67F4E"/>
    <w:rsid w:val="5EE73554"/>
    <w:rsid w:val="5EEE1418"/>
    <w:rsid w:val="5EEE226D"/>
    <w:rsid w:val="5EF417E4"/>
    <w:rsid w:val="5EF51DFF"/>
    <w:rsid w:val="5EF53DC9"/>
    <w:rsid w:val="5EF567B0"/>
    <w:rsid w:val="5EF570A2"/>
    <w:rsid w:val="5EF94947"/>
    <w:rsid w:val="5EFE3506"/>
    <w:rsid w:val="5EFF27BF"/>
    <w:rsid w:val="5F023B1D"/>
    <w:rsid w:val="5F052D23"/>
    <w:rsid w:val="5F0F191E"/>
    <w:rsid w:val="5F102167"/>
    <w:rsid w:val="5F137C79"/>
    <w:rsid w:val="5F164C14"/>
    <w:rsid w:val="5F1B02AB"/>
    <w:rsid w:val="5F1B4A1D"/>
    <w:rsid w:val="5F1B611F"/>
    <w:rsid w:val="5F1E4891"/>
    <w:rsid w:val="5F1F58B0"/>
    <w:rsid w:val="5F230252"/>
    <w:rsid w:val="5F232EF5"/>
    <w:rsid w:val="5F250958"/>
    <w:rsid w:val="5F254325"/>
    <w:rsid w:val="5F275547"/>
    <w:rsid w:val="5F277A98"/>
    <w:rsid w:val="5F277BA4"/>
    <w:rsid w:val="5F294C39"/>
    <w:rsid w:val="5F2E7745"/>
    <w:rsid w:val="5F2F45CF"/>
    <w:rsid w:val="5F30502F"/>
    <w:rsid w:val="5F331C05"/>
    <w:rsid w:val="5F36137A"/>
    <w:rsid w:val="5F372BA9"/>
    <w:rsid w:val="5F372DC3"/>
    <w:rsid w:val="5F39293E"/>
    <w:rsid w:val="5F3A2422"/>
    <w:rsid w:val="5F3A5069"/>
    <w:rsid w:val="5F3C2E61"/>
    <w:rsid w:val="5F3D79F4"/>
    <w:rsid w:val="5F3E0ECD"/>
    <w:rsid w:val="5F406701"/>
    <w:rsid w:val="5F435EBE"/>
    <w:rsid w:val="5F466E3D"/>
    <w:rsid w:val="5F484877"/>
    <w:rsid w:val="5F49727E"/>
    <w:rsid w:val="5F4B21D4"/>
    <w:rsid w:val="5F4C6791"/>
    <w:rsid w:val="5F4F09ED"/>
    <w:rsid w:val="5F503CD6"/>
    <w:rsid w:val="5F516A20"/>
    <w:rsid w:val="5F517ACB"/>
    <w:rsid w:val="5F560E94"/>
    <w:rsid w:val="5F572898"/>
    <w:rsid w:val="5F581F95"/>
    <w:rsid w:val="5F5E4CE2"/>
    <w:rsid w:val="5F637DDD"/>
    <w:rsid w:val="5F6B08CA"/>
    <w:rsid w:val="5F6C514D"/>
    <w:rsid w:val="5F6E4B82"/>
    <w:rsid w:val="5F6F4258"/>
    <w:rsid w:val="5F71773F"/>
    <w:rsid w:val="5F7351AF"/>
    <w:rsid w:val="5F770514"/>
    <w:rsid w:val="5F774F97"/>
    <w:rsid w:val="5F7818CE"/>
    <w:rsid w:val="5F7B7C18"/>
    <w:rsid w:val="5F815909"/>
    <w:rsid w:val="5F835411"/>
    <w:rsid w:val="5F857802"/>
    <w:rsid w:val="5F8851DA"/>
    <w:rsid w:val="5F8976A3"/>
    <w:rsid w:val="5F8B2F9A"/>
    <w:rsid w:val="5F8D0020"/>
    <w:rsid w:val="5F8D425C"/>
    <w:rsid w:val="5F8F155D"/>
    <w:rsid w:val="5F9007E9"/>
    <w:rsid w:val="5F970699"/>
    <w:rsid w:val="5F9D3E4B"/>
    <w:rsid w:val="5FA06683"/>
    <w:rsid w:val="5FA34CC1"/>
    <w:rsid w:val="5FA44098"/>
    <w:rsid w:val="5FAB2F06"/>
    <w:rsid w:val="5FAB46F9"/>
    <w:rsid w:val="5FAC54AE"/>
    <w:rsid w:val="5FAD3617"/>
    <w:rsid w:val="5FB05621"/>
    <w:rsid w:val="5FB1545E"/>
    <w:rsid w:val="5FB327DB"/>
    <w:rsid w:val="5FB5119E"/>
    <w:rsid w:val="5FB703CC"/>
    <w:rsid w:val="5FBC12AE"/>
    <w:rsid w:val="5FBC4A39"/>
    <w:rsid w:val="5FC111D7"/>
    <w:rsid w:val="5FC312F6"/>
    <w:rsid w:val="5FC3203B"/>
    <w:rsid w:val="5FC96F04"/>
    <w:rsid w:val="5FCB2EAF"/>
    <w:rsid w:val="5FCD1E8C"/>
    <w:rsid w:val="5FD13365"/>
    <w:rsid w:val="5FD20433"/>
    <w:rsid w:val="5FD25C4B"/>
    <w:rsid w:val="5FD3460A"/>
    <w:rsid w:val="5FD37FB6"/>
    <w:rsid w:val="5FDC20BE"/>
    <w:rsid w:val="5FDD4F1E"/>
    <w:rsid w:val="5FDE3483"/>
    <w:rsid w:val="5FE1544B"/>
    <w:rsid w:val="5FE504E6"/>
    <w:rsid w:val="5FE865B8"/>
    <w:rsid w:val="5FE86845"/>
    <w:rsid w:val="5FEA0950"/>
    <w:rsid w:val="5FEA28CF"/>
    <w:rsid w:val="5FEB41D5"/>
    <w:rsid w:val="5FEF5FE6"/>
    <w:rsid w:val="5FF1718F"/>
    <w:rsid w:val="5FF3076B"/>
    <w:rsid w:val="5FF309DA"/>
    <w:rsid w:val="5FF63C47"/>
    <w:rsid w:val="5FF64C5A"/>
    <w:rsid w:val="5FF738DD"/>
    <w:rsid w:val="5FF9446B"/>
    <w:rsid w:val="5FFE070C"/>
    <w:rsid w:val="5FFF12C4"/>
    <w:rsid w:val="6003770C"/>
    <w:rsid w:val="60090B54"/>
    <w:rsid w:val="600C17B7"/>
    <w:rsid w:val="600D4EB5"/>
    <w:rsid w:val="600D5209"/>
    <w:rsid w:val="60115A8A"/>
    <w:rsid w:val="60120EC2"/>
    <w:rsid w:val="60131E11"/>
    <w:rsid w:val="60140EB1"/>
    <w:rsid w:val="60143E49"/>
    <w:rsid w:val="601671C2"/>
    <w:rsid w:val="601719EB"/>
    <w:rsid w:val="601A757F"/>
    <w:rsid w:val="601A7FA3"/>
    <w:rsid w:val="601D0826"/>
    <w:rsid w:val="601D1884"/>
    <w:rsid w:val="601E0CE5"/>
    <w:rsid w:val="60230739"/>
    <w:rsid w:val="60232E2E"/>
    <w:rsid w:val="602331E3"/>
    <w:rsid w:val="60235257"/>
    <w:rsid w:val="602356EA"/>
    <w:rsid w:val="60241FE6"/>
    <w:rsid w:val="602435D4"/>
    <w:rsid w:val="602A54C4"/>
    <w:rsid w:val="602E0507"/>
    <w:rsid w:val="602F5155"/>
    <w:rsid w:val="602F7202"/>
    <w:rsid w:val="603002C9"/>
    <w:rsid w:val="60307AE4"/>
    <w:rsid w:val="603950EA"/>
    <w:rsid w:val="603A125B"/>
    <w:rsid w:val="603B0DCC"/>
    <w:rsid w:val="603B2181"/>
    <w:rsid w:val="603B54D6"/>
    <w:rsid w:val="603E0F2D"/>
    <w:rsid w:val="603F153B"/>
    <w:rsid w:val="60427903"/>
    <w:rsid w:val="604C4C6B"/>
    <w:rsid w:val="604D1D38"/>
    <w:rsid w:val="604D3EF9"/>
    <w:rsid w:val="6052061A"/>
    <w:rsid w:val="60551525"/>
    <w:rsid w:val="605B0187"/>
    <w:rsid w:val="605B3722"/>
    <w:rsid w:val="605C40AB"/>
    <w:rsid w:val="60642AE7"/>
    <w:rsid w:val="60651E0A"/>
    <w:rsid w:val="6065342F"/>
    <w:rsid w:val="60674BEE"/>
    <w:rsid w:val="60674CBD"/>
    <w:rsid w:val="606C30CE"/>
    <w:rsid w:val="606F6CDD"/>
    <w:rsid w:val="60701952"/>
    <w:rsid w:val="607041E2"/>
    <w:rsid w:val="60715E75"/>
    <w:rsid w:val="60761B34"/>
    <w:rsid w:val="6077405C"/>
    <w:rsid w:val="60794B08"/>
    <w:rsid w:val="607C6C7C"/>
    <w:rsid w:val="607C711D"/>
    <w:rsid w:val="607D1785"/>
    <w:rsid w:val="608310E4"/>
    <w:rsid w:val="608573B8"/>
    <w:rsid w:val="60863427"/>
    <w:rsid w:val="60881B29"/>
    <w:rsid w:val="6088478C"/>
    <w:rsid w:val="608A78CE"/>
    <w:rsid w:val="608B09D7"/>
    <w:rsid w:val="608F42EC"/>
    <w:rsid w:val="609067B2"/>
    <w:rsid w:val="609436CC"/>
    <w:rsid w:val="60971519"/>
    <w:rsid w:val="6099592F"/>
    <w:rsid w:val="60A03B6B"/>
    <w:rsid w:val="60A03F5D"/>
    <w:rsid w:val="60A4143C"/>
    <w:rsid w:val="60A60928"/>
    <w:rsid w:val="60AD5852"/>
    <w:rsid w:val="60AE4D6F"/>
    <w:rsid w:val="60B161F2"/>
    <w:rsid w:val="60B21831"/>
    <w:rsid w:val="60B32901"/>
    <w:rsid w:val="60B43FAC"/>
    <w:rsid w:val="60B63E57"/>
    <w:rsid w:val="60B827E6"/>
    <w:rsid w:val="60B844E0"/>
    <w:rsid w:val="60BD767D"/>
    <w:rsid w:val="60BF6494"/>
    <w:rsid w:val="60C032DD"/>
    <w:rsid w:val="60C05B77"/>
    <w:rsid w:val="60C22F26"/>
    <w:rsid w:val="60C35410"/>
    <w:rsid w:val="60C564BA"/>
    <w:rsid w:val="60CD43B5"/>
    <w:rsid w:val="60CE7B1F"/>
    <w:rsid w:val="60CF7E9C"/>
    <w:rsid w:val="60D25845"/>
    <w:rsid w:val="60D52C1A"/>
    <w:rsid w:val="60D67372"/>
    <w:rsid w:val="60D77C74"/>
    <w:rsid w:val="60DF453D"/>
    <w:rsid w:val="60E053AB"/>
    <w:rsid w:val="60E40F36"/>
    <w:rsid w:val="60EB4D25"/>
    <w:rsid w:val="60F67D65"/>
    <w:rsid w:val="60F70A9C"/>
    <w:rsid w:val="60FB6022"/>
    <w:rsid w:val="60FC6CE1"/>
    <w:rsid w:val="60FD6BFD"/>
    <w:rsid w:val="60FE1542"/>
    <w:rsid w:val="6102079C"/>
    <w:rsid w:val="61037074"/>
    <w:rsid w:val="61072AE7"/>
    <w:rsid w:val="61081625"/>
    <w:rsid w:val="610A048A"/>
    <w:rsid w:val="610C03AE"/>
    <w:rsid w:val="610F06B7"/>
    <w:rsid w:val="6110684B"/>
    <w:rsid w:val="61176266"/>
    <w:rsid w:val="61177608"/>
    <w:rsid w:val="61185D29"/>
    <w:rsid w:val="6119292E"/>
    <w:rsid w:val="611A7A5B"/>
    <w:rsid w:val="611D3DBE"/>
    <w:rsid w:val="611D65C5"/>
    <w:rsid w:val="611F73F5"/>
    <w:rsid w:val="6121751D"/>
    <w:rsid w:val="61254915"/>
    <w:rsid w:val="6128633A"/>
    <w:rsid w:val="612A22BD"/>
    <w:rsid w:val="612B4451"/>
    <w:rsid w:val="61305508"/>
    <w:rsid w:val="613342DC"/>
    <w:rsid w:val="61347C82"/>
    <w:rsid w:val="613743CE"/>
    <w:rsid w:val="613B1EEA"/>
    <w:rsid w:val="613B6A67"/>
    <w:rsid w:val="613E419D"/>
    <w:rsid w:val="613F3C2D"/>
    <w:rsid w:val="613F4236"/>
    <w:rsid w:val="6140470B"/>
    <w:rsid w:val="6140731A"/>
    <w:rsid w:val="61412877"/>
    <w:rsid w:val="614558D6"/>
    <w:rsid w:val="6146174F"/>
    <w:rsid w:val="6147778F"/>
    <w:rsid w:val="614841A1"/>
    <w:rsid w:val="614B0A74"/>
    <w:rsid w:val="614B49CC"/>
    <w:rsid w:val="614F4CA9"/>
    <w:rsid w:val="61516214"/>
    <w:rsid w:val="615177C4"/>
    <w:rsid w:val="6154441A"/>
    <w:rsid w:val="615753AA"/>
    <w:rsid w:val="615958A1"/>
    <w:rsid w:val="615A7A1E"/>
    <w:rsid w:val="615C4A67"/>
    <w:rsid w:val="615D574B"/>
    <w:rsid w:val="615F0232"/>
    <w:rsid w:val="61661167"/>
    <w:rsid w:val="61685FB8"/>
    <w:rsid w:val="616A02D6"/>
    <w:rsid w:val="616C00B8"/>
    <w:rsid w:val="61714569"/>
    <w:rsid w:val="61731DF4"/>
    <w:rsid w:val="6176129C"/>
    <w:rsid w:val="61795148"/>
    <w:rsid w:val="617B1052"/>
    <w:rsid w:val="617D2010"/>
    <w:rsid w:val="6180159F"/>
    <w:rsid w:val="61806AFA"/>
    <w:rsid w:val="61832448"/>
    <w:rsid w:val="61874454"/>
    <w:rsid w:val="61886A7F"/>
    <w:rsid w:val="6188739B"/>
    <w:rsid w:val="618A662A"/>
    <w:rsid w:val="618B1F5D"/>
    <w:rsid w:val="618E7BE2"/>
    <w:rsid w:val="61923BF1"/>
    <w:rsid w:val="61932087"/>
    <w:rsid w:val="61944B54"/>
    <w:rsid w:val="61A02B09"/>
    <w:rsid w:val="61A316EE"/>
    <w:rsid w:val="61A60AB6"/>
    <w:rsid w:val="61AA4273"/>
    <w:rsid w:val="61AC46FB"/>
    <w:rsid w:val="61AD3C36"/>
    <w:rsid w:val="61AF0E01"/>
    <w:rsid w:val="61B4310B"/>
    <w:rsid w:val="61B5085C"/>
    <w:rsid w:val="61B50992"/>
    <w:rsid w:val="61B52EF9"/>
    <w:rsid w:val="61B559C7"/>
    <w:rsid w:val="61B64F81"/>
    <w:rsid w:val="61B66108"/>
    <w:rsid w:val="61B71EA5"/>
    <w:rsid w:val="61B87347"/>
    <w:rsid w:val="61B96EB8"/>
    <w:rsid w:val="61BC1213"/>
    <w:rsid w:val="61BF09EC"/>
    <w:rsid w:val="61C328B8"/>
    <w:rsid w:val="61C435C5"/>
    <w:rsid w:val="61C645A3"/>
    <w:rsid w:val="61C77326"/>
    <w:rsid w:val="61C9431E"/>
    <w:rsid w:val="61C954DF"/>
    <w:rsid w:val="61CC50A4"/>
    <w:rsid w:val="61CC5DE9"/>
    <w:rsid w:val="61CD2796"/>
    <w:rsid w:val="61CD6F83"/>
    <w:rsid w:val="61CF19A8"/>
    <w:rsid w:val="61D12401"/>
    <w:rsid w:val="61D1575B"/>
    <w:rsid w:val="61D270DB"/>
    <w:rsid w:val="61D41C8A"/>
    <w:rsid w:val="61D51E7C"/>
    <w:rsid w:val="61D64D9F"/>
    <w:rsid w:val="61D83763"/>
    <w:rsid w:val="61D86448"/>
    <w:rsid w:val="61DA47BA"/>
    <w:rsid w:val="61DE1BBC"/>
    <w:rsid w:val="61E127A7"/>
    <w:rsid w:val="61E234AF"/>
    <w:rsid w:val="61E44123"/>
    <w:rsid w:val="61E67757"/>
    <w:rsid w:val="61E72FB2"/>
    <w:rsid w:val="61E97041"/>
    <w:rsid w:val="61EA4084"/>
    <w:rsid w:val="61ED327B"/>
    <w:rsid w:val="61EE7078"/>
    <w:rsid w:val="61EF33C5"/>
    <w:rsid w:val="61F159E3"/>
    <w:rsid w:val="61F168D9"/>
    <w:rsid w:val="61F35319"/>
    <w:rsid w:val="61F4267B"/>
    <w:rsid w:val="61F51D04"/>
    <w:rsid w:val="61F55C13"/>
    <w:rsid w:val="61F96479"/>
    <w:rsid w:val="61FA7D0F"/>
    <w:rsid w:val="61FD609B"/>
    <w:rsid w:val="61FF3C58"/>
    <w:rsid w:val="62005AFA"/>
    <w:rsid w:val="620272C7"/>
    <w:rsid w:val="62032094"/>
    <w:rsid w:val="620350B2"/>
    <w:rsid w:val="62045389"/>
    <w:rsid w:val="62076CD6"/>
    <w:rsid w:val="620A21AB"/>
    <w:rsid w:val="620E5C65"/>
    <w:rsid w:val="621047CA"/>
    <w:rsid w:val="621318C5"/>
    <w:rsid w:val="62172A67"/>
    <w:rsid w:val="621773AB"/>
    <w:rsid w:val="621A5DBF"/>
    <w:rsid w:val="621B6986"/>
    <w:rsid w:val="621B7377"/>
    <w:rsid w:val="621C243A"/>
    <w:rsid w:val="621F515B"/>
    <w:rsid w:val="62217A36"/>
    <w:rsid w:val="62244C6B"/>
    <w:rsid w:val="62262098"/>
    <w:rsid w:val="622926FD"/>
    <w:rsid w:val="62295825"/>
    <w:rsid w:val="622B18F5"/>
    <w:rsid w:val="622D1EF3"/>
    <w:rsid w:val="622F38EC"/>
    <w:rsid w:val="62343FAA"/>
    <w:rsid w:val="62352B64"/>
    <w:rsid w:val="62384ED7"/>
    <w:rsid w:val="6239485F"/>
    <w:rsid w:val="623A6F42"/>
    <w:rsid w:val="623C37C2"/>
    <w:rsid w:val="623D66E5"/>
    <w:rsid w:val="623F4E88"/>
    <w:rsid w:val="62472E08"/>
    <w:rsid w:val="624A242E"/>
    <w:rsid w:val="624C7653"/>
    <w:rsid w:val="624F6F21"/>
    <w:rsid w:val="62501E3E"/>
    <w:rsid w:val="62507336"/>
    <w:rsid w:val="625637F0"/>
    <w:rsid w:val="625674C7"/>
    <w:rsid w:val="62596940"/>
    <w:rsid w:val="62596A78"/>
    <w:rsid w:val="625B44B5"/>
    <w:rsid w:val="625C4983"/>
    <w:rsid w:val="625E659E"/>
    <w:rsid w:val="6260124E"/>
    <w:rsid w:val="62606B6A"/>
    <w:rsid w:val="62614B5F"/>
    <w:rsid w:val="62674361"/>
    <w:rsid w:val="626843AC"/>
    <w:rsid w:val="626B243F"/>
    <w:rsid w:val="626C0315"/>
    <w:rsid w:val="626D3BF4"/>
    <w:rsid w:val="62713322"/>
    <w:rsid w:val="627205AC"/>
    <w:rsid w:val="62725292"/>
    <w:rsid w:val="627574AB"/>
    <w:rsid w:val="627600B9"/>
    <w:rsid w:val="627633C1"/>
    <w:rsid w:val="62807B79"/>
    <w:rsid w:val="62816B36"/>
    <w:rsid w:val="62825195"/>
    <w:rsid w:val="6283622D"/>
    <w:rsid w:val="62864D65"/>
    <w:rsid w:val="62867E49"/>
    <w:rsid w:val="62876081"/>
    <w:rsid w:val="62890602"/>
    <w:rsid w:val="628B11FC"/>
    <w:rsid w:val="628B1F69"/>
    <w:rsid w:val="628B310C"/>
    <w:rsid w:val="628E6FA8"/>
    <w:rsid w:val="628F7E95"/>
    <w:rsid w:val="62905CF1"/>
    <w:rsid w:val="62931BAE"/>
    <w:rsid w:val="62945F4D"/>
    <w:rsid w:val="62954D81"/>
    <w:rsid w:val="629C04D4"/>
    <w:rsid w:val="629F15EA"/>
    <w:rsid w:val="629F3769"/>
    <w:rsid w:val="62A35CDB"/>
    <w:rsid w:val="62A46AE9"/>
    <w:rsid w:val="62A60B9C"/>
    <w:rsid w:val="62A63ED8"/>
    <w:rsid w:val="62A92D51"/>
    <w:rsid w:val="62AA234A"/>
    <w:rsid w:val="62AB4ACD"/>
    <w:rsid w:val="62AF644E"/>
    <w:rsid w:val="62B0228E"/>
    <w:rsid w:val="62B12E89"/>
    <w:rsid w:val="62B12F45"/>
    <w:rsid w:val="62B32573"/>
    <w:rsid w:val="62B35F8A"/>
    <w:rsid w:val="62B54D2A"/>
    <w:rsid w:val="62B554BB"/>
    <w:rsid w:val="62B85923"/>
    <w:rsid w:val="62B9741E"/>
    <w:rsid w:val="62BA0559"/>
    <w:rsid w:val="62BA0915"/>
    <w:rsid w:val="62BA7DEA"/>
    <w:rsid w:val="62BB37E0"/>
    <w:rsid w:val="62C26D3F"/>
    <w:rsid w:val="62C34A79"/>
    <w:rsid w:val="62C62326"/>
    <w:rsid w:val="62C7495C"/>
    <w:rsid w:val="62C75391"/>
    <w:rsid w:val="62CE01CF"/>
    <w:rsid w:val="62CE3FB5"/>
    <w:rsid w:val="62CE5E36"/>
    <w:rsid w:val="62D04C9A"/>
    <w:rsid w:val="62D36FC7"/>
    <w:rsid w:val="62D6643C"/>
    <w:rsid w:val="62D83FAB"/>
    <w:rsid w:val="62DA00D0"/>
    <w:rsid w:val="62DA22BC"/>
    <w:rsid w:val="62DB4FF3"/>
    <w:rsid w:val="62DC1F3A"/>
    <w:rsid w:val="62E05BE9"/>
    <w:rsid w:val="62E15091"/>
    <w:rsid w:val="62E20F6C"/>
    <w:rsid w:val="62E252FC"/>
    <w:rsid w:val="62E36624"/>
    <w:rsid w:val="62E62D97"/>
    <w:rsid w:val="62E8235D"/>
    <w:rsid w:val="62E857C5"/>
    <w:rsid w:val="62EB1822"/>
    <w:rsid w:val="62EB6D5C"/>
    <w:rsid w:val="62EC6EB7"/>
    <w:rsid w:val="62ED678B"/>
    <w:rsid w:val="62EE31BC"/>
    <w:rsid w:val="62F15C67"/>
    <w:rsid w:val="62F2161C"/>
    <w:rsid w:val="62F80290"/>
    <w:rsid w:val="62FC2607"/>
    <w:rsid w:val="62FD6D58"/>
    <w:rsid w:val="62FF1007"/>
    <w:rsid w:val="62FF61F5"/>
    <w:rsid w:val="63001AAD"/>
    <w:rsid w:val="6301693E"/>
    <w:rsid w:val="63042932"/>
    <w:rsid w:val="63045B89"/>
    <w:rsid w:val="630536C6"/>
    <w:rsid w:val="63056097"/>
    <w:rsid w:val="630956B3"/>
    <w:rsid w:val="630F127B"/>
    <w:rsid w:val="63145135"/>
    <w:rsid w:val="63191107"/>
    <w:rsid w:val="631F4255"/>
    <w:rsid w:val="631F4D63"/>
    <w:rsid w:val="63212F67"/>
    <w:rsid w:val="632420D6"/>
    <w:rsid w:val="63272404"/>
    <w:rsid w:val="63281C84"/>
    <w:rsid w:val="632B5B67"/>
    <w:rsid w:val="632C1DB7"/>
    <w:rsid w:val="632D3052"/>
    <w:rsid w:val="632E4C3F"/>
    <w:rsid w:val="633248E2"/>
    <w:rsid w:val="63364448"/>
    <w:rsid w:val="633837D1"/>
    <w:rsid w:val="633C37A2"/>
    <w:rsid w:val="633E112D"/>
    <w:rsid w:val="633F6607"/>
    <w:rsid w:val="634425EF"/>
    <w:rsid w:val="634476B5"/>
    <w:rsid w:val="634849F6"/>
    <w:rsid w:val="634A7B6E"/>
    <w:rsid w:val="634B0BFB"/>
    <w:rsid w:val="635008CA"/>
    <w:rsid w:val="635210EC"/>
    <w:rsid w:val="63574B05"/>
    <w:rsid w:val="63585659"/>
    <w:rsid w:val="635C70E1"/>
    <w:rsid w:val="6364634C"/>
    <w:rsid w:val="636B7CD2"/>
    <w:rsid w:val="636E32E1"/>
    <w:rsid w:val="636E4302"/>
    <w:rsid w:val="63755E75"/>
    <w:rsid w:val="637566E0"/>
    <w:rsid w:val="63757E6B"/>
    <w:rsid w:val="63762240"/>
    <w:rsid w:val="63762412"/>
    <w:rsid w:val="63770B55"/>
    <w:rsid w:val="637717C8"/>
    <w:rsid w:val="637B0338"/>
    <w:rsid w:val="637C3EE0"/>
    <w:rsid w:val="637E23A9"/>
    <w:rsid w:val="637E2EC5"/>
    <w:rsid w:val="63827C28"/>
    <w:rsid w:val="638337CB"/>
    <w:rsid w:val="638525FF"/>
    <w:rsid w:val="63871246"/>
    <w:rsid w:val="6389022E"/>
    <w:rsid w:val="638C33B4"/>
    <w:rsid w:val="638C389C"/>
    <w:rsid w:val="638C571F"/>
    <w:rsid w:val="63910D73"/>
    <w:rsid w:val="63912ABB"/>
    <w:rsid w:val="6397617E"/>
    <w:rsid w:val="639D739C"/>
    <w:rsid w:val="639F7113"/>
    <w:rsid w:val="63A21209"/>
    <w:rsid w:val="63A23A8F"/>
    <w:rsid w:val="63A25DEA"/>
    <w:rsid w:val="63A61F9A"/>
    <w:rsid w:val="63A73B0B"/>
    <w:rsid w:val="63A8774F"/>
    <w:rsid w:val="63A90B24"/>
    <w:rsid w:val="63A930FE"/>
    <w:rsid w:val="63AA2203"/>
    <w:rsid w:val="63AB56F0"/>
    <w:rsid w:val="63AE5A23"/>
    <w:rsid w:val="63AF4337"/>
    <w:rsid w:val="63B53915"/>
    <w:rsid w:val="63B637DC"/>
    <w:rsid w:val="63B7324B"/>
    <w:rsid w:val="63B817F3"/>
    <w:rsid w:val="63B87A7F"/>
    <w:rsid w:val="63BB5D96"/>
    <w:rsid w:val="63C03BA5"/>
    <w:rsid w:val="63C05BBD"/>
    <w:rsid w:val="63C22B1D"/>
    <w:rsid w:val="63C3029A"/>
    <w:rsid w:val="63C73141"/>
    <w:rsid w:val="63C766A2"/>
    <w:rsid w:val="63CA23ED"/>
    <w:rsid w:val="63CB36F1"/>
    <w:rsid w:val="63CD0092"/>
    <w:rsid w:val="63CD7439"/>
    <w:rsid w:val="63D066CC"/>
    <w:rsid w:val="63D17912"/>
    <w:rsid w:val="63D91A51"/>
    <w:rsid w:val="63DB3A73"/>
    <w:rsid w:val="63DB4542"/>
    <w:rsid w:val="63DE17FA"/>
    <w:rsid w:val="63E2428D"/>
    <w:rsid w:val="63E31EE0"/>
    <w:rsid w:val="63E36BE9"/>
    <w:rsid w:val="63E37CC2"/>
    <w:rsid w:val="63EA22E4"/>
    <w:rsid w:val="63EA5E47"/>
    <w:rsid w:val="63EC0BEA"/>
    <w:rsid w:val="63F4365A"/>
    <w:rsid w:val="63F51CD9"/>
    <w:rsid w:val="63F54962"/>
    <w:rsid w:val="63FA6F8C"/>
    <w:rsid w:val="63FB4D20"/>
    <w:rsid w:val="63FD5501"/>
    <w:rsid w:val="64023D3C"/>
    <w:rsid w:val="64044367"/>
    <w:rsid w:val="640443C1"/>
    <w:rsid w:val="64071D23"/>
    <w:rsid w:val="6408010C"/>
    <w:rsid w:val="640812D6"/>
    <w:rsid w:val="64095992"/>
    <w:rsid w:val="640A3559"/>
    <w:rsid w:val="640B6830"/>
    <w:rsid w:val="640E7167"/>
    <w:rsid w:val="640F4DF5"/>
    <w:rsid w:val="64110006"/>
    <w:rsid w:val="64140BF8"/>
    <w:rsid w:val="64153468"/>
    <w:rsid w:val="64156A68"/>
    <w:rsid w:val="64165F43"/>
    <w:rsid w:val="641E4B7B"/>
    <w:rsid w:val="641F0B4B"/>
    <w:rsid w:val="64211823"/>
    <w:rsid w:val="642C5924"/>
    <w:rsid w:val="64305BE7"/>
    <w:rsid w:val="64343004"/>
    <w:rsid w:val="64360640"/>
    <w:rsid w:val="64367F23"/>
    <w:rsid w:val="643B395D"/>
    <w:rsid w:val="643E5C74"/>
    <w:rsid w:val="64406DAC"/>
    <w:rsid w:val="644320E9"/>
    <w:rsid w:val="64435678"/>
    <w:rsid w:val="64435D86"/>
    <w:rsid w:val="64482FE6"/>
    <w:rsid w:val="644830D3"/>
    <w:rsid w:val="64492128"/>
    <w:rsid w:val="6449461D"/>
    <w:rsid w:val="644C4986"/>
    <w:rsid w:val="645F21B2"/>
    <w:rsid w:val="6460369B"/>
    <w:rsid w:val="6460629F"/>
    <w:rsid w:val="64641AF7"/>
    <w:rsid w:val="64660E33"/>
    <w:rsid w:val="6468460E"/>
    <w:rsid w:val="646A38F2"/>
    <w:rsid w:val="646D6EED"/>
    <w:rsid w:val="647661DA"/>
    <w:rsid w:val="64797AAF"/>
    <w:rsid w:val="647B47D5"/>
    <w:rsid w:val="647C5293"/>
    <w:rsid w:val="647D2C1B"/>
    <w:rsid w:val="647D418A"/>
    <w:rsid w:val="647E5A5C"/>
    <w:rsid w:val="647F66AC"/>
    <w:rsid w:val="648530B6"/>
    <w:rsid w:val="648831FA"/>
    <w:rsid w:val="6488584A"/>
    <w:rsid w:val="648C7DE8"/>
    <w:rsid w:val="649219B3"/>
    <w:rsid w:val="64923A04"/>
    <w:rsid w:val="64971430"/>
    <w:rsid w:val="64971887"/>
    <w:rsid w:val="649A108B"/>
    <w:rsid w:val="649C2F6A"/>
    <w:rsid w:val="649D31F4"/>
    <w:rsid w:val="649E63E3"/>
    <w:rsid w:val="64A20492"/>
    <w:rsid w:val="64A24286"/>
    <w:rsid w:val="64A43B47"/>
    <w:rsid w:val="64A83E7A"/>
    <w:rsid w:val="64AC6663"/>
    <w:rsid w:val="64AD6D53"/>
    <w:rsid w:val="64AE6B22"/>
    <w:rsid w:val="64B01568"/>
    <w:rsid w:val="64B554E6"/>
    <w:rsid w:val="64B558BF"/>
    <w:rsid w:val="64B82A43"/>
    <w:rsid w:val="64BB1027"/>
    <w:rsid w:val="64BB2FE7"/>
    <w:rsid w:val="64BC7DB5"/>
    <w:rsid w:val="64BD547B"/>
    <w:rsid w:val="64C167F0"/>
    <w:rsid w:val="64C22F2F"/>
    <w:rsid w:val="64C26A5E"/>
    <w:rsid w:val="64C44034"/>
    <w:rsid w:val="64CB0560"/>
    <w:rsid w:val="64CB2A2E"/>
    <w:rsid w:val="64CF363F"/>
    <w:rsid w:val="64CF7F63"/>
    <w:rsid w:val="64D05E64"/>
    <w:rsid w:val="64D92691"/>
    <w:rsid w:val="64DA33DE"/>
    <w:rsid w:val="64DF3FFA"/>
    <w:rsid w:val="64DF691D"/>
    <w:rsid w:val="64E044AB"/>
    <w:rsid w:val="64E74B24"/>
    <w:rsid w:val="64E756AE"/>
    <w:rsid w:val="64E76529"/>
    <w:rsid w:val="64E76E79"/>
    <w:rsid w:val="64E7798A"/>
    <w:rsid w:val="64E9700A"/>
    <w:rsid w:val="64EC4037"/>
    <w:rsid w:val="64EC519C"/>
    <w:rsid w:val="64FB0344"/>
    <w:rsid w:val="64FD18D0"/>
    <w:rsid w:val="64FF06F7"/>
    <w:rsid w:val="64FF438F"/>
    <w:rsid w:val="65000961"/>
    <w:rsid w:val="6501248F"/>
    <w:rsid w:val="65090BB6"/>
    <w:rsid w:val="650A338D"/>
    <w:rsid w:val="650A7F9D"/>
    <w:rsid w:val="650C534A"/>
    <w:rsid w:val="65106B27"/>
    <w:rsid w:val="65112670"/>
    <w:rsid w:val="651163E9"/>
    <w:rsid w:val="65150868"/>
    <w:rsid w:val="65151DD1"/>
    <w:rsid w:val="65162067"/>
    <w:rsid w:val="65166244"/>
    <w:rsid w:val="651D3086"/>
    <w:rsid w:val="652005E7"/>
    <w:rsid w:val="652651C2"/>
    <w:rsid w:val="652A6A53"/>
    <w:rsid w:val="652B0183"/>
    <w:rsid w:val="652C0CD1"/>
    <w:rsid w:val="652C7B4F"/>
    <w:rsid w:val="652E6690"/>
    <w:rsid w:val="65323A9A"/>
    <w:rsid w:val="65342DF9"/>
    <w:rsid w:val="65361FF8"/>
    <w:rsid w:val="65365399"/>
    <w:rsid w:val="65374DEC"/>
    <w:rsid w:val="65385120"/>
    <w:rsid w:val="65387C26"/>
    <w:rsid w:val="65392CB4"/>
    <w:rsid w:val="653969EC"/>
    <w:rsid w:val="653F4A3E"/>
    <w:rsid w:val="65440036"/>
    <w:rsid w:val="654B70AB"/>
    <w:rsid w:val="654C05E3"/>
    <w:rsid w:val="654C75F6"/>
    <w:rsid w:val="65536FB5"/>
    <w:rsid w:val="6557096C"/>
    <w:rsid w:val="65570D3D"/>
    <w:rsid w:val="6558125D"/>
    <w:rsid w:val="655A3C25"/>
    <w:rsid w:val="655C1FF1"/>
    <w:rsid w:val="655C4C06"/>
    <w:rsid w:val="655C5885"/>
    <w:rsid w:val="655D1923"/>
    <w:rsid w:val="656107E1"/>
    <w:rsid w:val="6568660B"/>
    <w:rsid w:val="65691B3D"/>
    <w:rsid w:val="656A2C78"/>
    <w:rsid w:val="656B23AF"/>
    <w:rsid w:val="656E5FD2"/>
    <w:rsid w:val="656E78FF"/>
    <w:rsid w:val="656F0566"/>
    <w:rsid w:val="656F328F"/>
    <w:rsid w:val="65720A0D"/>
    <w:rsid w:val="657742DB"/>
    <w:rsid w:val="657C2FB5"/>
    <w:rsid w:val="6580496A"/>
    <w:rsid w:val="6584603C"/>
    <w:rsid w:val="658776CF"/>
    <w:rsid w:val="65882FEA"/>
    <w:rsid w:val="65883168"/>
    <w:rsid w:val="658B1ACA"/>
    <w:rsid w:val="65914CC4"/>
    <w:rsid w:val="65923593"/>
    <w:rsid w:val="6594261A"/>
    <w:rsid w:val="65954F1B"/>
    <w:rsid w:val="659B0A58"/>
    <w:rsid w:val="659D3EC7"/>
    <w:rsid w:val="65A20F20"/>
    <w:rsid w:val="65A30641"/>
    <w:rsid w:val="65A512DF"/>
    <w:rsid w:val="65AA1082"/>
    <w:rsid w:val="65AA6C6F"/>
    <w:rsid w:val="65AC2F34"/>
    <w:rsid w:val="65AE6BA3"/>
    <w:rsid w:val="65B0192C"/>
    <w:rsid w:val="65B0360E"/>
    <w:rsid w:val="65B05F33"/>
    <w:rsid w:val="65B256A1"/>
    <w:rsid w:val="65BC45DB"/>
    <w:rsid w:val="65BE6CAC"/>
    <w:rsid w:val="65BF0BD3"/>
    <w:rsid w:val="65C067BF"/>
    <w:rsid w:val="65C217DB"/>
    <w:rsid w:val="65C34E20"/>
    <w:rsid w:val="65C55A2B"/>
    <w:rsid w:val="65C63DFB"/>
    <w:rsid w:val="65C87C10"/>
    <w:rsid w:val="65CE66BA"/>
    <w:rsid w:val="65D227A0"/>
    <w:rsid w:val="65D317D8"/>
    <w:rsid w:val="65DA55C5"/>
    <w:rsid w:val="65DC1C27"/>
    <w:rsid w:val="65DC3A71"/>
    <w:rsid w:val="65DD3500"/>
    <w:rsid w:val="65DD7079"/>
    <w:rsid w:val="65DF0523"/>
    <w:rsid w:val="65DF24EA"/>
    <w:rsid w:val="65E001FA"/>
    <w:rsid w:val="65E16ED6"/>
    <w:rsid w:val="65E17AE5"/>
    <w:rsid w:val="65E216A3"/>
    <w:rsid w:val="65E270E0"/>
    <w:rsid w:val="65E65891"/>
    <w:rsid w:val="65E90F99"/>
    <w:rsid w:val="65EE06E3"/>
    <w:rsid w:val="65EF5367"/>
    <w:rsid w:val="65F25FC3"/>
    <w:rsid w:val="65F350E4"/>
    <w:rsid w:val="65F871E7"/>
    <w:rsid w:val="65FA4C3A"/>
    <w:rsid w:val="65FA600B"/>
    <w:rsid w:val="65FB045C"/>
    <w:rsid w:val="65FB1F38"/>
    <w:rsid w:val="65FC4B90"/>
    <w:rsid w:val="65FC5C52"/>
    <w:rsid w:val="65FD4676"/>
    <w:rsid w:val="65FE2C4B"/>
    <w:rsid w:val="66000072"/>
    <w:rsid w:val="6600243C"/>
    <w:rsid w:val="660073AC"/>
    <w:rsid w:val="66014823"/>
    <w:rsid w:val="66032E89"/>
    <w:rsid w:val="66056357"/>
    <w:rsid w:val="66076057"/>
    <w:rsid w:val="660C31B1"/>
    <w:rsid w:val="660E467E"/>
    <w:rsid w:val="661337B4"/>
    <w:rsid w:val="66140720"/>
    <w:rsid w:val="661661EF"/>
    <w:rsid w:val="6617434F"/>
    <w:rsid w:val="661B11D4"/>
    <w:rsid w:val="661F6F8D"/>
    <w:rsid w:val="66202432"/>
    <w:rsid w:val="662320C0"/>
    <w:rsid w:val="66257E57"/>
    <w:rsid w:val="6627320F"/>
    <w:rsid w:val="66294B31"/>
    <w:rsid w:val="66297189"/>
    <w:rsid w:val="662A531C"/>
    <w:rsid w:val="662A5ED2"/>
    <w:rsid w:val="662D5AD0"/>
    <w:rsid w:val="662E15F4"/>
    <w:rsid w:val="662F5110"/>
    <w:rsid w:val="66310D0D"/>
    <w:rsid w:val="663135B5"/>
    <w:rsid w:val="663578AA"/>
    <w:rsid w:val="66382C57"/>
    <w:rsid w:val="663B6B7E"/>
    <w:rsid w:val="663B7224"/>
    <w:rsid w:val="66401ED8"/>
    <w:rsid w:val="66446DC8"/>
    <w:rsid w:val="664715D8"/>
    <w:rsid w:val="664717D5"/>
    <w:rsid w:val="66497FE5"/>
    <w:rsid w:val="664B591D"/>
    <w:rsid w:val="664B5C82"/>
    <w:rsid w:val="664D191A"/>
    <w:rsid w:val="664E694C"/>
    <w:rsid w:val="664F3C95"/>
    <w:rsid w:val="66511E4F"/>
    <w:rsid w:val="66512732"/>
    <w:rsid w:val="66535CDA"/>
    <w:rsid w:val="66596BBF"/>
    <w:rsid w:val="665A17C2"/>
    <w:rsid w:val="665C2AFF"/>
    <w:rsid w:val="665F26C0"/>
    <w:rsid w:val="666033A3"/>
    <w:rsid w:val="666450FB"/>
    <w:rsid w:val="666C0410"/>
    <w:rsid w:val="666C3431"/>
    <w:rsid w:val="666D0255"/>
    <w:rsid w:val="666E13EE"/>
    <w:rsid w:val="666E1ECD"/>
    <w:rsid w:val="666F09EF"/>
    <w:rsid w:val="6673262A"/>
    <w:rsid w:val="667657C9"/>
    <w:rsid w:val="66777C2A"/>
    <w:rsid w:val="667B1332"/>
    <w:rsid w:val="667F0040"/>
    <w:rsid w:val="66825CAD"/>
    <w:rsid w:val="66873095"/>
    <w:rsid w:val="66875701"/>
    <w:rsid w:val="6689069B"/>
    <w:rsid w:val="66896FB3"/>
    <w:rsid w:val="668B32F2"/>
    <w:rsid w:val="668C4C82"/>
    <w:rsid w:val="668D327C"/>
    <w:rsid w:val="66911BB9"/>
    <w:rsid w:val="66932FD6"/>
    <w:rsid w:val="66956E58"/>
    <w:rsid w:val="669824C1"/>
    <w:rsid w:val="669914DF"/>
    <w:rsid w:val="66993652"/>
    <w:rsid w:val="669B2E0F"/>
    <w:rsid w:val="669B7376"/>
    <w:rsid w:val="669D4835"/>
    <w:rsid w:val="669E7477"/>
    <w:rsid w:val="669F0F34"/>
    <w:rsid w:val="66A24E90"/>
    <w:rsid w:val="66A51857"/>
    <w:rsid w:val="66AA6B0B"/>
    <w:rsid w:val="66AA7A75"/>
    <w:rsid w:val="66AB1136"/>
    <w:rsid w:val="66AB4487"/>
    <w:rsid w:val="66AC4E9C"/>
    <w:rsid w:val="66B26925"/>
    <w:rsid w:val="66B435FA"/>
    <w:rsid w:val="66B52683"/>
    <w:rsid w:val="66B745B2"/>
    <w:rsid w:val="66B754AD"/>
    <w:rsid w:val="66B87CE8"/>
    <w:rsid w:val="66BA559A"/>
    <w:rsid w:val="66BF1BA8"/>
    <w:rsid w:val="66BF6B95"/>
    <w:rsid w:val="66C130AF"/>
    <w:rsid w:val="66C33A72"/>
    <w:rsid w:val="66C55E50"/>
    <w:rsid w:val="66CA5BB3"/>
    <w:rsid w:val="66CC1293"/>
    <w:rsid w:val="66CC5FDD"/>
    <w:rsid w:val="66CD2D5F"/>
    <w:rsid w:val="66CF3F09"/>
    <w:rsid w:val="66D015B4"/>
    <w:rsid w:val="66D26DFD"/>
    <w:rsid w:val="66D35431"/>
    <w:rsid w:val="66D7015F"/>
    <w:rsid w:val="66DA6AA4"/>
    <w:rsid w:val="66DC136C"/>
    <w:rsid w:val="66DD023C"/>
    <w:rsid w:val="66DD6300"/>
    <w:rsid w:val="66DF1563"/>
    <w:rsid w:val="66E0005B"/>
    <w:rsid w:val="66E47CA5"/>
    <w:rsid w:val="66E51A11"/>
    <w:rsid w:val="66E8453E"/>
    <w:rsid w:val="66EC0A7E"/>
    <w:rsid w:val="66F52F89"/>
    <w:rsid w:val="66F57843"/>
    <w:rsid w:val="66F608F0"/>
    <w:rsid w:val="66F70AEE"/>
    <w:rsid w:val="66FA2683"/>
    <w:rsid w:val="66FA3E72"/>
    <w:rsid w:val="66FA7590"/>
    <w:rsid w:val="66FB265C"/>
    <w:rsid w:val="66FB5DA5"/>
    <w:rsid w:val="67010307"/>
    <w:rsid w:val="67017349"/>
    <w:rsid w:val="67021F3C"/>
    <w:rsid w:val="670263B3"/>
    <w:rsid w:val="670322E2"/>
    <w:rsid w:val="67035434"/>
    <w:rsid w:val="67053012"/>
    <w:rsid w:val="6707151C"/>
    <w:rsid w:val="67075AD6"/>
    <w:rsid w:val="670830D1"/>
    <w:rsid w:val="670904C5"/>
    <w:rsid w:val="670C2045"/>
    <w:rsid w:val="670D16AA"/>
    <w:rsid w:val="670E0DDB"/>
    <w:rsid w:val="67120381"/>
    <w:rsid w:val="67155B91"/>
    <w:rsid w:val="67160FF5"/>
    <w:rsid w:val="671A023B"/>
    <w:rsid w:val="671C16C1"/>
    <w:rsid w:val="67204D90"/>
    <w:rsid w:val="67212DEF"/>
    <w:rsid w:val="67255D06"/>
    <w:rsid w:val="67263FA4"/>
    <w:rsid w:val="6726534D"/>
    <w:rsid w:val="672700D7"/>
    <w:rsid w:val="672802DC"/>
    <w:rsid w:val="67297C00"/>
    <w:rsid w:val="672B2383"/>
    <w:rsid w:val="672D0F0C"/>
    <w:rsid w:val="672F3106"/>
    <w:rsid w:val="6732651C"/>
    <w:rsid w:val="67337EB9"/>
    <w:rsid w:val="67353A97"/>
    <w:rsid w:val="67375D42"/>
    <w:rsid w:val="673A1F92"/>
    <w:rsid w:val="673B1814"/>
    <w:rsid w:val="673C2234"/>
    <w:rsid w:val="673D7CDF"/>
    <w:rsid w:val="6746209D"/>
    <w:rsid w:val="674B4007"/>
    <w:rsid w:val="674B44C9"/>
    <w:rsid w:val="674D1D17"/>
    <w:rsid w:val="674D3384"/>
    <w:rsid w:val="674D739A"/>
    <w:rsid w:val="674F327E"/>
    <w:rsid w:val="67531433"/>
    <w:rsid w:val="67537EED"/>
    <w:rsid w:val="675565F3"/>
    <w:rsid w:val="675609E1"/>
    <w:rsid w:val="675869E4"/>
    <w:rsid w:val="675A45A3"/>
    <w:rsid w:val="675B055A"/>
    <w:rsid w:val="675E43CA"/>
    <w:rsid w:val="676047CD"/>
    <w:rsid w:val="676179CA"/>
    <w:rsid w:val="676274AE"/>
    <w:rsid w:val="67656A52"/>
    <w:rsid w:val="67656E3A"/>
    <w:rsid w:val="676F68D3"/>
    <w:rsid w:val="677663BB"/>
    <w:rsid w:val="67785B57"/>
    <w:rsid w:val="67794960"/>
    <w:rsid w:val="67797F1A"/>
    <w:rsid w:val="677A25EE"/>
    <w:rsid w:val="677A437C"/>
    <w:rsid w:val="677E2B60"/>
    <w:rsid w:val="67881298"/>
    <w:rsid w:val="6788384E"/>
    <w:rsid w:val="678A3D81"/>
    <w:rsid w:val="678B13DA"/>
    <w:rsid w:val="678F4E2E"/>
    <w:rsid w:val="678F7D17"/>
    <w:rsid w:val="67933135"/>
    <w:rsid w:val="6793337A"/>
    <w:rsid w:val="679456DE"/>
    <w:rsid w:val="67952CE1"/>
    <w:rsid w:val="67967F6D"/>
    <w:rsid w:val="679973CE"/>
    <w:rsid w:val="67997894"/>
    <w:rsid w:val="679B0EBB"/>
    <w:rsid w:val="679C69DA"/>
    <w:rsid w:val="67A0496B"/>
    <w:rsid w:val="67A264F3"/>
    <w:rsid w:val="67A50E91"/>
    <w:rsid w:val="67A570AA"/>
    <w:rsid w:val="67A72FE6"/>
    <w:rsid w:val="67A97175"/>
    <w:rsid w:val="67AC33C8"/>
    <w:rsid w:val="67AC413F"/>
    <w:rsid w:val="67AC5DF0"/>
    <w:rsid w:val="67AF685A"/>
    <w:rsid w:val="67B0457E"/>
    <w:rsid w:val="67B24719"/>
    <w:rsid w:val="67B2729E"/>
    <w:rsid w:val="67B30DBB"/>
    <w:rsid w:val="67B53D7D"/>
    <w:rsid w:val="67B65072"/>
    <w:rsid w:val="67B674A8"/>
    <w:rsid w:val="67B94927"/>
    <w:rsid w:val="67BC3A75"/>
    <w:rsid w:val="67BC6B73"/>
    <w:rsid w:val="67BD0435"/>
    <w:rsid w:val="67BD076C"/>
    <w:rsid w:val="67BD3392"/>
    <w:rsid w:val="67C267AE"/>
    <w:rsid w:val="67C31D1D"/>
    <w:rsid w:val="67C43DE9"/>
    <w:rsid w:val="67C71B25"/>
    <w:rsid w:val="67CB3909"/>
    <w:rsid w:val="67CF26D9"/>
    <w:rsid w:val="67D13952"/>
    <w:rsid w:val="67D354AD"/>
    <w:rsid w:val="67D63E73"/>
    <w:rsid w:val="67DC0AE1"/>
    <w:rsid w:val="67DC64B9"/>
    <w:rsid w:val="67DE2EF8"/>
    <w:rsid w:val="67E0314A"/>
    <w:rsid w:val="67E560DD"/>
    <w:rsid w:val="67E662AC"/>
    <w:rsid w:val="67E97F80"/>
    <w:rsid w:val="67ED6A2D"/>
    <w:rsid w:val="67F41A8D"/>
    <w:rsid w:val="67F85726"/>
    <w:rsid w:val="67FE56CC"/>
    <w:rsid w:val="680265F3"/>
    <w:rsid w:val="680276F3"/>
    <w:rsid w:val="68063A05"/>
    <w:rsid w:val="680660E9"/>
    <w:rsid w:val="68092D88"/>
    <w:rsid w:val="680A1AF7"/>
    <w:rsid w:val="680B63A7"/>
    <w:rsid w:val="680E2AB0"/>
    <w:rsid w:val="680F48AF"/>
    <w:rsid w:val="681044B7"/>
    <w:rsid w:val="68151645"/>
    <w:rsid w:val="68175F92"/>
    <w:rsid w:val="681817DB"/>
    <w:rsid w:val="681E5AD2"/>
    <w:rsid w:val="681E5B1A"/>
    <w:rsid w:val="6824137C"/>
    <w:rsid w:val="68265626"/>
    <w:rsid w:val="68267997"/>
    <w:rsid w:val="682C2492"/>
    <w:rsid w:val="682C5B82"/>
    <w:rsid w:val="682D20DC"/>
    <w:rsid w:val="682D2992"/>
    <w:rsid w:val="682E3BB7"/>
    <w:rsid w:val="68333C2B"/>
    <w:rsid w:val="683C4D83"/>
    <w:rsid w:val="683D04D9"/>
    <w:rsid w:val="683F6165"/>
    <w:rsid w:val="6840259B"/>
    <w:rsid w:val="68426E2D"/>
    <w:rsid w:val="68444173"/>
    <w:rsid w:val="68493221"/>
    <w:rsid w:val="684A2217"/>
    <w:rsid w:val="684C27A4"/>
    <w:rsid w:val="684D0B72"/>
    <w:rsid w:val="684E317E"/>
    <w:rsid w:val="684F3E27"/>
    <w:rsid w:val="68514FE2"/>
    <w:rsid w:val="68580F20"/>
    <w:rsid w:val="68590442"/>
    <w:rsid w:val="6859385D"/>
    <w:rsid w:val="685B04B2"/>
    <w:rsid w:val="685D622C"/>
    <w:rsid w:val="685E039C"/>
    <w:rsid w:val="68630719"/>
    <w:rsid w:val="68634FF2"/>
    <w:rsid w:val="68651514"/>
    <w:rsid w:val="68671204"/>
    <w:rsid w:val="68673EE7"/>
    <w:rsid w:val="686A7F88"/>
    <w:rsid w:val="686D5F9E"/>
    <w:rsid w:val="686E53BA"/>
    <w:rsid w:val="686F786F"/>
    <w:rsid w:val="687103F0"/>
    <w:rsid w:val="687113C2"/>
    <w:rsid w:val="68720652"/>
    <w:rsid w:val="68733E1C"/>
    <w:rsid w:val="68746A2B"/>
    <w:rsid w:val="6878245A"/>
    <w:rsid w:val="687C7941"/>
    <w:rsid w:val="687F1DAC"/>
    <w:rsid w:val="68815F7F"/>
    <w:rsid w:val="688267C0"/>
    <w:rsid w:val="688311C2"/>
    <w:rsid w:val="68884B40"/>
    <w:rsid w:val="68886640"/>
    <w:rsid w:val="688A626B"/>
    <w:rsid w:val="688B4951"/>
    <w:rsid w:val="688B584A"/>
    <w:rsid w:val="688C4B4D"/>
    <w:rsid w:val="688C7BE6"/>
    <w:rsid w:val="688D6015"/>
    <w:rsid w:val="68944550"/>
    <w:rsid w:val="68981A76"/>
    <w:rsid w:val="68A32F07"/>
    <w:rsid w:val="68A348DA"/>
    <w:rsid w:val="68AB2B76"/>
    <w:rsid w:val="68B122D2"/>
    <w:rsid w:val="68B2463B"/>
    <w:rsid w:val="68B26A36"/>
    <w:rsid w:val="68B410A2"/>
    <w:rsid w:val="68B601F8"/>
    <w:rsid w:val="68BD2F74"/>
    <w:rsid w:val="68BE598A"/>
    <w:rsid w:val="68BF2278"/>
    <w:rsid w:val="68BF7D61"/>
    <w:rsid w:val="68C44BA7"/>
    <w:rsid w:val="68C5306C"/>
    <w:rsid w:val="68C61FB6"/>
    <w:rsid w:val="68CB697E"/>
    <w:rsid w:val="68CD3BD8"/>
    <w:rsid w:val="68CD7133"/>
    <w:rsid w:val="68CE6854"/>
    <w:rsid w:val="68CF636A"/>
    <w:rsid w:val="68D119D3"/>
    <w:rsid w:val="68D130AE"/>
    <w:rsid w:val="68D44820"/>
    <w:rsid w:val="68D94C8C"/>
    <w:rsid w:val="68DA2B8E"/>
    <w:rsid w:val="68DB7408"/>
    <w:rsid w:val="68DD273F"/>
    <w:rsid w:val="68E05560"/>
    <w:rsid w:val="68E11E79"/>
    <w:rsid w:val="68E37261"/>
    <w:rsid w:val="68E52D47"/>
    <w:rsid w:val="68E54ABE"/>
    <w:rsid w:val="68E66D36"/>
    <w:rsid w:val="68EE1425"/>
    <w:rsid w:val="68EF6CA4"/>
    <w:rsid w:val="68F0467E"/>
    <w:rsid w:val="68F412FD"/>
    <w:rsid w:val="68F81681"/>
    <w:rsid w:val="68F931B0"/>
    <w:rsid w:val="68F9465B"/>
    <w:rsid w:val="68FE5B88"/>
    <w:rsid w:val="69012F13"/>
    <w:rsid w:val="6904662F"/>
    <w:rsid w:val="6907207A"/>
    <w:rsid w:val="69075999"/>
    <w:rsid w:val="690931A9"/>
    <w:rsid w:val="69097B86"/>
    <w:rsid w:val="69113BDC"/>
    <w:rsid w:val="69114F77"/>
    <w:rsid w:val="69122488"/>
    <w:rsid w:val="69125C9A"/>
    <w:rsid w:val="69134CCE"/>
    <w:rsid w:val="691E0341"/>
    <w:rsid w:val="691F2ED1"/>
    <w:rsid w:val="6920273E"/>
    <w:rsid w:val="69220673"/>
    <w:rsid w:val="69240AF4"/>
    <w:rsid w:val="692444C0"/>
    <w:rsid w:val="69247F06"/>
    <w:rsid w:val="69260C35"/>
    <w:rsid w:val="692618A9"/>
    <w:rsid w:val="692A059C"/>
    <w:rsid w:val="692A0734"/>
    <w:rsid w:val="692B6A45"/>
    <w:rsid w:val="692D3D75"/>
    <w:rsid w:val="692E114F"/>
    <w:rsid w:val="69301458"/>
    <w:rsid w:val="69352E39"/>
    <w:rsid w:val="69376F56"/>
    <w:rsid w:val="693802F1"/>
    <w:rsid w:val="69382728"/>
    <w:rsid w:val="693A49B7"/>
    <w:rsid w:val="693B051C"/>
    <w:rsid w:val="693E13C3"/>
    <w:rsid w:val="693F1726"/>
    <w:rsid w:val="693F2C1E"/>
    <w:rsid w:val="694061C5"/>
    <w:rsid w:val="69406514"/>
    <w:rsid w:val="694123D1"/>
    <w:rsid w:val="6941408F"/>
    <w:rsid w:val="694218AF"/>
    <w:rsid w:val="69434A93"/>
    <w:rsid w:val="694611F5"/>
    <w:rsid w:val="69462E5B"/>
    <w:rsid w:val="694B046D"/>
    <w:rsid w:val="694D72CC"/>
    <w:rsid w:val="694E0AB2"/>
    <w:rsid w:val="694F374C"/>
    <w:rsid w:val="695055AD"/>
    <w:rsid w:val="69507BE8"/>
    <w:rsid w:val="695453E1"/>
    <w:rsid w:val="69567B75"/>
    <w:rsid w:val="69591395"/>
    <w:rsid w:val="695A4D60"/>
    <w:rsid w:val="69622D85"/>
    <w:rsid w:val="696509E6"/>
    <w:rsid w:val="696574D5"/>
    <w:rsid w:val="696B34D4"/>
    <w:rsid w:val="696C34B1"/>
    <w:rsid w:val="697215A8"/>
    <w:rsid w:val="6975320F"/>
    <w:rsid w:val="69764D6B"/>
    <w:rsid w:val="69783BF1"/>
    <w:rsid w:val="697B1EC4"/>
    <w:rsid w:val="697C28D3"/>
    <w:rsid w:val="697D1F96"/>
    <w:rsid w:val="697F6F26"/>
    <w:rsid w:val="6981735A"/>
    <w:rsid w:val="6986616F"/>
    <w:rsid w:val="69867015"/>
    <w:rsid w:val="698A67FA"/>
    <w:rsid w:val="698D19ED"/>
    <w:rsid w:val="69901B46"/>
    <w:rsid w:val="69913054"/>
    <w:rsid w:val="6992095D"/>
    <w:rsid w:val="69927525"/>
    <w:rsid w:val="69927CAB"/>
    <w:rsid w:val="69955DDA"/>
    <w:rsid w:val="699E6B2F"/>
    <w:rsid w:val="69A06BDE"/>
    <w:rsid w:val="69A12F87"/>
    <w:rsid w:val="69A96E7B"/>
    <w:rsid w:val="69AB79C3"/>
    <w:rsid w:val="69AD0B1E"/>
    <w:rsid w:val="69AD5A8C"/>
    <w:rsid w:val="69AE15BE"/>
    <w:rsid w:val="69AE67A2"/>
    <w:rsid w:val="69AF7382"/>
    <w:rsid w:val="69B31E99"/>
    <w:rsid w:val="69B377B4"/>
    <w:rsid w:val="69B57E22"/>
    <w:rsid w:val="69BD3A55"/>
    <w:rsid w:val="69C37053"/>
    <w:rsid w:val="69C54268"/>
    <w:rsid w:val="69C661DF"/>
    <w:rsid w:val="69C842EE"/>
    <w:rsid w:val="69CD33EC"/>
    <w:rsid w:val="69D72410"/>
    <w:rsid w:val="69DA3A20"/>
    <w:rsid w:val="69DD4580"/>
    <w:rsid w:val="69E04422"/>
    <w:rsid w:val="69E20F21"/>
    <w:rsid w:val="69E222ED"/>
    <w:rsid w:val="69E26F35"/>
    <w:rsid w:val="69E6426B"/>
    <w:rsid w:val="69E706E6"/>
    <w:rsid w:val="69E8567F"/>
    <w:rsid w:val="69E858D6"/>
    <w:rsid w:val="69E962EE"/>
    <w:rsid w:val="69EA004C"/>
    <w:rsid w:val="69EB3475"/>
    <w:rsid w:val="69EE1DC9"/>
    <w:rsid w:val="69EE7B9F"/>
    <w:rsid w:val="69F00260"/>
    <w:rsid w:val="69F01450"/>
    <w:rsid w:val="69F03FAE"/>
    <w:rsid w:val="69F13AC5"/>
    <w:rsid w:val="69F43005"/>
    <w:rsid w:val="69F77014"/>
    <w:rsid w:val="69F81A0D"/>
    <w:rsid w:val="69F97DC5"/>
    <w:rsid w:val="69FA2491"/>
    <w:rsid w:val="69FB59BD"/>
    <w:rsid w:val="69FB5EF8"/>
    <w:rsid w:val="69FC1356"/>
    <w:rsid w:val="69FC602C"/>
    <w:rsid w:val="69FD76A1"/>
    <w:rsid w:val="69FF5017"/>
    <w:rsid w:val="6A0277B1"/>
    <w:rsid w:val="6A0368D9"/>
    <w:rsid w:val="6A04399D"/>
    <w:rsid w:val="6A084E83"/>
    <w:rsid w:val="6A0E6FB6"/>
    <w:rsid w:val="6A1032FC"/>
    <w:rsid w:val="6A1114C4"/>
    <w:rsid w:val="6A1216E5"/>
    <w:rsid w:val="6A121E2E"/>
    <w:rsid w:val="6A151919"/>
    <w:rsid w:val="6A15558D"/>
    <w:rsid w:val="6A1609F9"/>
    <w:rsid w:val="6A171C1A"/>
    <w:rsid w:val="6A17474A"/>
    <w:rsid w:val="6A1B74B5"/>
    <w:rsid w:val="6A2127EB"/>
    <w:rsid w:val="6A2B66D5"/>
    <w:rsid w:val="6A3364A3"/>
    <w:rsid w:val="6A3769EC"/>
    <w:rsid w:val="6A3B68F2"/>
    <w:rsid w:val="6A45602F"/>
    <w:rsid w:val="6A472173"/>
    <w:rsid w:val="6A473377"/>
    <w:rsid w:val="6A480517"/>
    <w:rsid w:val="6A4F06D2"/>
    <w:rsid w:val="6A4F6C8D"/>
    <w:rsid w:val="6A527DC6"/>
    <w:rsid w:val="6A545C96"/>
    <w:rsid w:val="6A550A9A"/>
    <w:rsid w:val="6A556FB0"/>
    <w:rsid w:val="6A575782"/>
    <w:rsid w:val="6A583BF8"/>
    <w:rsid w:val="6A593A6B"/>
    <w:rsid w:val="6A5A7ADD"/>
    <w:rsid w:val="6A5E6034"/>
    <w:rsid w:val="6A62277C"/>
    <w:rsid w:val="6A642400"/>
    <w:rsid w:val="6A6471B1"/>
    <w:rsid w:val="6A6661D8"/>
    <w:rsid w:val="6A671D91"/>
    <w:rsid w:val="6A687DFB"/>
    <w:rsid w:val="6A7028E2"/>
    <w:rsid w:val="6A7213F4"/>
    <w:rsid w:val="6A7304AD"/>
    <w:rsid w:val="6A76225A"/>
    <w:rsid w:val="6A7672F3"/>
    <w:rsid w:val="6A7F6686"/>
    <w:rsid w:val="6A857F1E"/>
    <w:rsid w:val="6A8C3753"/>
    <w:rsid w:val="6A8E6AB9"/>
    <w:rsid w:val="6A8F6DE4"/>
    <w:rsid w:val="6A951843"/>
    <w:rsid w:val="6A967D7F"/>
    <w:rsid w:val="6A980B1A"/>
    <w:rsid w:val="6A9B2813"/>
    <w:rsid w:val="6AA0293C"/>
    <w:rsid w:val="6AA25442"/>
    <w:rsid w:val="6AA3567D"/>
    <w:rsid w:val="6AAB39D5"/>
    <w:rsid w:val="6AB069AC"/>
    <w:rsid w:val="6AB22C86"/>
    <w:rsid w:val="6AB22D0D"/>
    <w:rsid w:val="6AB37669"/>
    <w:rsid w:val="6AB6440B"/>
    <w:rsid w:val="6AB811AC"/>
    <w:rsid w:val="6ABA3F5D"/>
    <w:rsid w:val="6ABA4A67"/>
    <w:rsid w:val="6ABA63E4"/>
    <w:rsid w:val="6ABC146E"/>
    <w:rsid w:val="6ABD6090"/>
    <w:rsid w:val="6AC24EFB"/>
    <w:rsid w:val="6AC51BF2"/>
    <w:rsid w:val="6ACB7344"/>
    <w:rsid w:val="6ACC1ABD"/>
    <w:rsid w:val="6ACF65B1"/>
    <w:rsid w:val="6AD367B0"/>
    <w:rsid w:val="6AD377FD"/>
    <w:rsid w:val="6AD96DDB"/>
    <w:rsid w:val="6ADC0078"/>
    <w:rsid w:val="6ADF46CB"/>
    <w:rsid w:val="6AE42A1B"/>
    <w:rsid w:val="6AE51B39"/>
    <w:rsid w:val="6AE52C44"/>
    <w:rsid w:val="6AE6093D"/>
    <w:rsid w:val="6AE926AE"/>
    <w:rsid w:val="6AEB16EF"/>
    <w:rsid w:val="6AEE003F"/>
    <w:rsid w:val="6AEE14D2"/>
    <w:rsid w:val="6AF27298"/>
    <w:rsid w:val="6AF367B5"/>
    <w:rsid w:val="6AF42B15"/>
    <w:rsid w:val="6AF810FA"/>
    <w:rsid w:val="6AFC17E9"/>
    <w:rsid w:val="6AFD3A00"/>
    <w:rsid w:val="6AFD5FFD"/>
    <w:rsid w:val="6B000578"/>
    <w:rsid w:val="6B045935"/>
    <w:rsid w:val="6B052552"/>
    <w:rsid w:val="6B053192"/>
    <w:rsid w:val="6B0F17DA"/>
    <w:rsid w:val="6B114363"/>
    <w:rsid w:val="6B15275D"/>
    <w:rsid w:val="6B166280"/>
    <w:rsid w:val="6B175526"/>
    <w:rsid w:val="6B194995"/>
    <w:rsid w:val="6B1B7CF7"/>
    <w:rsid w:val="6B1E3C4F"/>
    <w:rsid w:val="6B271228"/>
    <w:rsid w:val="6B272518"/>
    <w:rsid w:val="6B272FDC"/>
    <w:rsid w:val="6B276FE7"/>
    <w:rsid w:val="6B27763B"/>
    <w:rsid w:val="6B280B32"/>
    <w:rsid w:val="6B28198A"/>
    <w:rsid w:val="6B283B55"/>
    <w:rsid w:val="6B2A59CC"/>
    <w:rsid w:val="6B3123D2"/>
    <w:rsid w:val="6B326BFB"/>
    <w:rsid w:val="6B35790D"/>
    <w:rsid w:val="6B383D0D"/>
    <w:rsid w:val="6B3B5908"/>
    <w:rsid w:val="6B3C3718"/>
    <w:rsid w:val="6B3F1E5B"/>
    <w:rsid w:val="6B3F2129"/>
    <w:rsid w:val="6B401A1E"/>
    <w:rsid w:val="6B435EBF"/>
    <w:rsid w:val="6B4367FD"/>
    <w:rsid w:val="6B456D7F"/>
    <w:rsid w:val="6B485FC0"/>
    <w:rsid w:val="6B4863F7"/>
    <w:rsid w:val="6B495378"/>
    <w:rsid w:val="6B4971BC"/>
    <w:rsid w:val="6B4A3CB6"/>
    <w:rsid w:val="6B503440"/>
    <w:rsid w:val="6B540A28"/>
    <w:rsid w:val="6B541063"/>
    <w:rsid w:val="6B545137"/>
    <w:rsid w:val="6B5705FB"/>
    <w:rsid w:val="6B572B96"/>
    <w:rsid w:val="6B591F04"/>
    <w:rsid w:val="6B59495C"/>
    <w:rsid w:val="6B5F2B7F"/>
    <w:rsid w:val="6B612667"/>
    <w:rsid w:val="6B6159C4"/>
    <w:rsid w:val="6B6207D4"/>
    <w:rsid w:val="6B646C0A"/>
    <w:rsid w:val="6B676387"/>
    <w:rsid w:val="6B686D08"/>
    <w:rsid w:val="6B692940"/>
    <w:rsid w:val="6B6C31DD"/>
    <w:rsid w:val="6B6D222C"/>
    <w:rsid w:val="6B700B3E"/>
    <w:rsid w:val="6B716C6C"/>
    <w:rsid w:val="6B7403CA"/>
    <w:rsid w:val="6B747FA1"/>
    <w:rsid w:val="6B785463"/>
    <w:rsid w:val="6B79000B"/>
    <w:rsid w:val="6B7D5772"/>
    <w:rsid w:val="6B7F5563"/>
    <w:rsid w:val="6B813ECA"/>
    <w:rsid w:val="6B824EA1"/>
    <w:rsid w:val="6B857BC9"/>
    <w:rsid w:val="6B857DD8"/>
    <w:rsid w:val="6B86082C"/>
    <w:rsid w:val="6B871D80"/>
    <w:rsid w:val="6B877728"/>
    <w:rsid w:val="6B893FC2"/>
    <w:rsid w:val="6B8A0CCD"/>
    <w:rsid w:val="6B8E4B66"/>
    <w:rsid w:val="6B92670D"/>
    <w:rsid w:val="6B9F4D86"/>
    <w:rsid w:val="6BA06BAB"/>
    <w:rsid w:val="6BA138AE"/>
    <w:rsid w:val="6BA43058"/>
    <w:rsid w:val="6BA51672"/>
    <w:rsid w:val="6BA65CA9"/>
    <w:rsid w:val="6BA759A3"/>
    <w:rsid w:val="6BAF16B4"/>
    <w:rsid w:val="6BB20CBD"/>
    <w:rsid w:val="6BB259C7"/>
    <w:rsid w:val="6BBB41C4"/>
    <w:rsid w:val="6BBB6276"/>
    <w:rsid w:val="6BBC2224"/>
    <w:rsid w:val="6BBE69B3"/>
    <w:rsid w:val="6BC0457F"/>
    <w:rsid w:val="6BC06986"/>
    <w:rsid w:val="6BC40EB4"/>
    <w:rsid w:val="6BC62E1A"/>
    <w:rsid w:val="6BC65A54"/>
    <w:rsid w:val="6BC94224"/>
    <w:rsid w:val="6BC961A7"/>
    <w:rsid w:val="6BCA6C35"/>
    <w:rsid w:val="6BD07DA1"/>
    <w:rsid w:val="6BD15E98"/>
    <w:rsid w:val="6BD263D8"/>
    <w:rsid w:val="6BD35BAF"/>
    <w:rsid w:val="6BD82B63"/>
    <w:rsid w:val="6BD878FD"/>
    <w:rsid w:val="6BDA75FF"/>
    <w:rsid w:val="6BDC1027"/>
    <w:rsid w:val="6BDE6AA9"/>
    <w:rsid w:val="6BDF4979"/>
    <w:rsid w:val="6BDF6205"/>
    <w:rsid w:val="6BE01DD5"/>
    <w:rsid w:val="6BE41D57"/>
    <w:rsid w:val="6BE508A0"/>
    <w:rsid w:val="6BE54E0D"/>
    <w:rsid w:val="6BEA3842"/>
    <w:rsid w:val="6BEB2A00"/>
    <w:rsid w:val="6BEC4200"/>
    <w:rsid w:val="6BEE7706"/>
    <w:rsid w:val="6BF0120A"/>
    <w:rsid w:val="6BF052FA"/>
    <w:rsid w:val="6BF23B58"/>
    <w:rsid w:val="6BF470CA"/>
    <w:rsid w:val="6BFA04BC"/>
    <w:rsid w:val="6C014186"/>
    <w:rsid w:val="6C036D85"/>
    <w:rsid w:val="6C043EE7"/>
    <w:rsid w:val="6C050F35"/>
    <w:rsid w:val="6C063C60"/>
    <w:rsid w:val="6C086A64"/>
    <w:rsid w:val="6C0B5784"/>
    <w:rsid w:val="6C0C4631"/>
    <w:rsid w:val="6C0C61D3"/>
    <w:rsid w:val="6C0E4928"/>
    <w:rsid w:val="6C0E5681"/>
    <w:rsid w:val="6C125837"/>
    <w:rsid w:val="6C1A3F61"/>
    <w:rsid w:val="6C1B3DBA"/>
    <w:rsid w:val="6C1D49E1"/>
    <w:rsid w:val="6C1E705C"/>
    <w:rsid w:val="6C235FF5"/>
    <w:rsid w:val="6C242B9C"/>
    <w:rsid w:val="6C25457F"/>
    <w:rsid w:val="6C29496C"/>
    <w:rsid w:val="6C29516F"/>
    <w:rsid w:val="6C2C4717"/>
    <w:rsid w:val="6C2C72A9"/>
    <w:rsid w:val="6C2C7FCC"/>
    <w:rsid w:val="6C344BFC"/>
    <w:rsid w:val="6C3465F1"/>
    <w:rsid w:val="6C361F83"/>
    <w:rsid w:val="6C3B085B"/>
    <w:rsid w:val="6C3C3C6E"/>
    <w:rsid w:val="6C3D07EC"/>
    <w:rsid w:val="6C3E1977"/>
    <w:rsid w:val="6C410EB3"/>
    <w:rsid w:val="6C41277A"/>
    <w:rsid w:val="6C4702D9"/>
    <w:rsid w:val="6C47506E"/>
    <w:rsid w:val="6C4B1628"/>
    <w:rsid w:val="6C4B22E6"/>
    <w:rsid w:val="6C4C19BC"/>
    <w:rsid w:val="6C4C1F6A"/>
    <w:rsid w:val="6C4C2CCE"/>
    <w:rsid w:val="6C533438"/>
    <w:rsid w:val="6C55706B"/>
    <w:rsid w:val="6C563824"/>
    <w:rsid w:val="6C5670B3"/>
    <w:rsid w:val="6C574EF2"/>
    <w:rsid w:val="6C5B179E"/>
    <w:rsid w:val="6C5E488C"/>
    <w:rsid w:val="6C5E66CA"/>
    <w:rsid w:val="6C615678"/>
    <w:rsid w:val="6C62421D"/>
    <w:rsid w:val="6C626D6E"/>
    <w:rsid w:val="6C62711B"/>
    <w:rsid w:val="6C62750E"/>
    <w:rsid w:val="6C666746"/>
    <w:rsid w:val="6C6A785A"/>
    <w:rsid w:val="6C6C5839"/>
    <w:rsid w:val="6C6F627C"/>
    <w:rsid w:val="6C7430EC"/>
    <w:rsid w:val="6C755B67"/>
    <w:rsid w:val="6C771D96"/>
    <w:rsid w:val="6C7B0FE0"/>
    <w:rsid w:val="6C7B5645"/>
    <w:rsid w:val="6C7C2B89"/>
    <w:rsid w:val="6C7D0366"/>
    <w:rsid w:val="6C800AED"/>
    <w:rsid w:val="6C84199E"/>
    <w:rsid w:val="6C877CB3"/>
    <w:rsid w:val="6C882F22"/>
    <w:rsid w:val="6C8A790C"/>
    <w:rsid w:val="6C8D1BEA"/>
    <w:rsid w:val="6C906A1F"/>
    <w:rsid w:val="6C91454E"/>
    <w:rsid w:val="6C941EAF"/>
    <w:rsid w:val="6C946432"/>
    <w:rsid w:val="6C947134"/>
    <w:rsid w:val="6C967530"/>
    <w:rsid w:val="6C97046D"/>
    <w:rsid w:val="6C97428A"/>
    <w:rsid w:val="6C9B2598"/>
    <w:rsid w:val="6C9E3E29"/>
    <w:rsid w:val="6CA01621"/>
    <w:rsid w:val="6CA12C97"/>
    <w:rsid w:val="6CA42981"/>
    <w:rsid w:val="6CA674E4"/>
    <w:rsid w:val="6CAB2499"/>
    <w:rsid w:val="6CAC2EB4"/>
    <w:rsid w:val="6CAE6A20"/>
    <w:rsid w:val="6CB36F80"/>
    <w:rsid w:val="6CB4675D"/>
    <w:rsid w:val="6CB87706"/>
    <w:rsid w:val="6CBD2472"/>
    <w:rsid w:val="6CBE681B"/>
    <w:rsid w:val="6CC26993"/>
    <w:rsid w:val="6CC50395"/>
    <w:rsid w:val="6CCC16D2"/>
    <w:rsid w:val="6CCE32FE"/>
    <w:rsid w:val="6CD13C80"/>
    <w:rsid w:val="6CD152DF"/>
    <w:rsid w:val="6CD53B77"/>
    <w:rsid w:val="6CD72073"/>
    <w:rsid w:val="6CDA097B"/>
    <w:rsid w:val="6CDB40ED"/>
    <w:rsid w:val="6CDF2863"/>
    <w:rsid w:val="6CE00AD6"/>
    <w:rsid w:val="6CE16AF8"/>
    <w:rsid w:val="6CE216F0"/>
    <w:rsid w:val="6CE346E5"/>
    <w:rsid w:val="6CE41D8D"/>
    <w:rsid w:val="6CEA7C1C"/>
    <w:rsid w:val="6CEB41A8"/>
    <w:rsid w:val="6CEE3EB6"/>
    <w:rsid w:val="6CEF16B3"/>
    <w:rsid w:val="6CF03634"/>
    <w:rsid w:val="6CF03AFA"/>
    <w:rsid w:val="6CF115C1"/>
    <w:rsid w:val="6CF14C74"/>
    <w:rsid w:val="6CF8731B"/>
    <w:rsid w:val="6CF961C3"/>
    <w:rsid w:val="6CF97D89"/>
    <w:rsid w:val="6CFE40BB"/>
    <w:rsid w:val="6CFE46B4"/>
    <w:rsid w:val="6D007C13"/>
    <w:rsid w:val="6D04134E"/>
    <w:rsid w:val="6D063B98"/>
    <w:rsid w:val="6D077DB8"/>
    <w:rsid w:val="6D085E07"/>
    <w:rsid w:val="6D0B5289"/>
    <w:rsid w:val="6D0C204C"/>
    <w:rsid w:val="6D114F4F"/>
    <w:rsid w:val="6D13256D"/>
    <w:rsid w:val="6D141B06"/>
    <w:rsid w:val="6D14677D"/>
    <w:rsid w:val="6D160C62"/>
    <w:rsid w:val="6D1C7651"/>
    <w:rsid w:val="6D1E5742"/>
    <w:rsid w:val="6D265EA5"/>
    <w:rsid w:val="6D274D6F"/>
    <w:rsid w:val="6D27597C"/>
    <w:rsid w:val="6D287D1C"/>
    <w:rsid w:val="6D2B7676"/>
    <w:rsid w:val="6D2C45A8"/>
    <w:rsid w:val="6D2D6DF4"/>
    <w:rsid w:val="6D2E45CF"/>
    <w:rsid w:val="6D327ACD"/>
    <w:rsid w:val="6D333E5C"/>
    <w:rsid w:val="6D3424D8"/>
    <w:rsid w:val="6D34788A"/>
    <w:rsid w:val="6D37108D"/>
    <w:rsid w:val="6D3721B6"/>
    <w:rsid w:val="6D380CB3"/>
    <w:rsid w:val="6D3A2D13"/>
    <w:rsid w:val="6D3B7D3C"/>
    <w:rsid w:val="6D4414E5"/>
    <w:rsid w:val="6D443A0F"/>
    <w:rsid w:val="6D456C88"/>
    <w:rsid w:val="6D4707A5"/>
    <w:rsid w:val="6D4824E5"/>
    <w:rsid w:val="6D486B4C"/>
    <w:rsid w:val="6D4A1A91"/>
    <w:rsid w:val="6D4D4613"/>
    <w:rsid w:val="6D4F01DD"/>
    <w:rsid w:val="6D501772"/>
    <w:rsid w:val="6D516096"/>
    <w:rsid w:val="6D537673"/>
    <w:rsid w:val="6D54546E"/>
    <w:rsid w:val="6D556BDA"/>
    <w:rsid w:val="6D561123"/>
    <w:rsid w:val="6D58337E"/>
    <w:rsid w:val="6D5B4546"/>
    <w:rsid w:val="6D5E1CD9"/>
    <w:rsid w:val="6D5F6539"/>
    <w:rsid w:val="6D611AB0"/>
    <w:rsid w:val="6D625482"/>
    <w:rsid w:val="6D6337F8"/>
    <w:rsid w:val="6D676CEC"/>
    <w:rsid w:val="6D680409"/>
    <w:rsid w:val="6D69654A"/>
    <w:rsid w:val="6D6A1EAA"/>
    <w:rsid w:val="6D6F3A20"/>
    <w:rsid w:val="6D6F3DBC"/>
    <w:rsid w:val="6D733825"/>
    <w:rsid w:val="6D73435C"/>
    <w:rsid w:val="6D774ACD"/>
    <w:rsid w:val="6D7B5DE9"/>
    <w:rsid w:val="6D7C1ECA"/>
    <w:rsid w:val="6D815CDC"/>
    <w:rsid w:val="6D816273"/>
    <w:rsid w:val="6D835690"/>
    <w:rsid w:val="6D856626"/>
    <w:rsid w:val="6D8875AB"/>
    <w:rsid w:val="6D8B7566"/>
    <w:rsid w:val="6D8C1B30"/>
    <w:rsid w:val="6D8C5627"/>
    <w:rsid w:val="6D901886"/>
    <w:rsid w:val="6D904AF4"/>
    <w:rsid w:val="6D943C9E"/>
    <w:rsid w:val="6D9479A6"/>
    <w:rsid w:val="6D977BE2"/>
    <w:rsid w:val="6D986140"/>
    <w:rsid w:val="6D9937F6"/>
    <w:rsid w:val="6D9B471A"/>
    <w:rsid w:val="6D9B62A7"/>
    <w:rsid w:val="6DA32E24"/>
    <w:rsid w:val="6DA371AF"/>
    <w:rsid w:val="6DA46622"/>
    <w:rsid w:val="6DA80D45"/>
    <w:rsid w:val="6DA918A4"/>
    <w:rsid w:val="6DA9203F"/>
    <w:rsid w:val="6DA946BC"/>
    <w:rsid w:val="6DB46577"/>
    <w:rsid w:val="6DB54E79"/>
    <w:rsid w:val="6DB625BB"/>
    <w:rsid w:val="6DB67FA7"/>
    <w:rsid w:val="6DB77B5B"/>
    <w:rsid w:val="6DB87613"/>
    <w:rsid w:val="6DBE0A97"/>
    <w:rsid w:val="6DBF290E"/>
    <w:rsid w:val="6DBF37CC"/>
    <w:rsid w:val="6DC00443"/>
    <w:rsid w:val="6DC13799"/>
    <w:rsid w:val="6DC46853"/>
    <w:rsid w:val="6DC80D53"/>
    <w:rsid w:val="6DC87DDC"/>
    <w:rsid w:val="6DCC1D69"/>
    <w:rsid w:val="6DCE63FF"/>
    <w:rsid w:val="6DCF3740"/>
    <w:rsid w:val="6DD70487"/>
    <w:rsid w:val="6DD93C38"/>
    <w:rsid w:val="6DDA127B"/>
    <w:rsid w:val="6DE21177"/>
    <w:rsid w:val="6DE24FD5"/>
    <w:rsid w:val="6DE44DB4"/>
    <w:rsid w:val="6DE626B2"/>
    <w:rsid w:val="6DE72D03"/>
    <w:rsid w:val="6DEC0242"/>
    <w:rsid w:val="6DEC344D"/>
    <w:rsid w:val="6DEE0249"/>
    <w:rsid w:val="6DEE675D"/>
    <w:rsid w:val="6DF41190"/>
    <w:rsid w:val="6DF53AC5"/>
    <w:rsid w:val="6DF55FAB"/>
    <w:rsid w:val="6DF755F2"/>
    <w:rsid w:val="6DF846E4"/>
    <w:rsid w:val="6DF96BAF"/>
    <w:rsid w:val="6DFC5DE7"/>
    <w:rsid w:val="6DFD1356"/>
    <w:rsid w:val="6E00690E"/>
    <w:rsid w:val="6E016583"/>
    <w:rsid w:val="6E027BE8"/>
    <w:rsid w:val="6E1303E1"/>
    <w:rsid w:val="6E190E53"/>
    <w:rsid w:val="6E1B22E2"/>
    <w:rsid w:val="6E1D3B39"/>
    <w:rsid w:val="6E236229"/>
    <w:rsid w:val="6E256536"/>
    <w:rsid w:val="6E273599"/>
    <w:rsid w:val="6E27492E"/>
    <w:rsid w:val="6E2A27E0"/>
    <w:rsid w:val="6E2A5D22"/>
    <w:rsid w:val="6E2C2013"/>
    <w:rsid w:val="6E2D43AD"/>
    <w:rsid w:val="6E2F33E1"/>
    <w:rsid w:val="6E347125"/>
    <w:rsid w:val="6E360AF3"/>
    <w:rsid w:val="6E374D03"/>
    <w:rsid w:val="6E397375"/>
    <w:rsid w:val="6E3C5F41"/>
    <w:rsid w:val="6E406D0C"/>
    <w:rsid w:val="6E446BE7"/>
    <w:rsid w:val="6E46373C"/>
    <w:rsid w:val="6E4812A7"/>
    <w:rsid w:val="6E496CD4"/>
    <w:rsid w:val="6E4C646B"/>
    <w:rsid w:val="6E4E7616"/>
    <w:rsid w:val="6E4F153D"/>
    <w:rsid w:val="6E53078D"/>
    <w:rsid w:val="6E560794"/>
    <w:rsid w:val="6E5732EE"/>
    <w:rsid w:val="6E575036"/>
    <w:rsid w:val="6E597BBD"/>
    <w:rsid w:val="6E5B11B8"/>
    <w:rsid w:val="6E5C7C0B"/>
    <w:rsid w:val="6E5D38C0"/>
    <w:rsid w:val="6E5E2BF9"/>
    <w:rsid w:val="6E5E53C9"/>
    <w:rsid w:val="6E6118C7"/>
    <w:rsid w:val="6E6247BD"/>
    <w:rsid w:val="6E665C40"/>
    <w:rsid w:val="6E671370"/>
    <w:rsid w:val="6E684ADC"/>
    <w:rsid w:val="6E6B077C"/>
    <w:rsid w:val="6E6E6F8A"/>
    <w:rsid w:val="6E704DFC"/>
    <w:rsid w:val="6E714EAA"/>
    <w:rsid w:val="6E7477A8"/>
    <w:rsid w:val="6E756166"/>
    <w:rsid w:val="6E766A91"/>
    <w:rsid w:val="6E76723D"/>
    <w:rsid w:val="6E7B01DF"/>
    <w:rsid w:val="6E7B340F"/>
    <w:rsid w:val="6E7C3FED"/>
    <w:rsid w:val="6E7D0145"/>
    <w:rsid w:val="6E7D095F"/>
    <w:rsid w:val="6E7D4E66"/>
    <w:rsid w:val="6E80729D"/>
    <w:rsid w:val="6E8878F0"/>
    <w:rsid w:val="6E8A6349"/>
    <w:rsid w:val="6E8C1015"/>
    <w:rsid w:val="6E8E5278"/>
    <w:rsid w:val="6E906E47"/>
    <w:rsid w:val="6E923970"/>
    <w:rsid w:val="6E94090F"/>
    <w:rsid w:val="6E946E62"/>
    <w:rsid w:val="6E9526CC"/>
    <w:rsid w:val="6E9748DB"/>
    <w:rsid w:val="6E98326C"/>
    <w:rsid w:val="6E9871CA"/>
    <w:rsid w:val="6E993AD5"/>
    <w:rsid w:val="6E9A182E"/>
    <w:rsid w:val="6EA32D37"/>
    <w:rsid w:val="6EA6528E"/>
    <w:rsid w:val="6EA72BD7"/>
    <w:rsid w:val="6EAA3CF9"/>
    <w:rsid w:val="6EAD3BC2"/>
    <w:rsid w:val="6EAE6D08"/>
    <w:rsid w:val="6EB24CE2"/>
    <w:rsid w:val="6EB56A94"/>
    <w:rsid w:val="6EB9625D"/>
    <w:rsid w:val="6EB97A15"/>
    <w:rsid w:val="6EBB29F5"/>
    <w:rsid w:val="6EBB7BEC"/>
    <w:rsid w:val="6EBC7E56"/>
    <w:rsid w:val="6EC0246E"/>
    <w:rsid w:val="6ECA7B9C"/>
    <w:rsid w:val="6ECE6F54"/>
    <w:rsid w:val="6ED03134"/>
    <w:rsid w:val="6ED04E4E"/>
    <w:rsid w:val="6ED12265"/>
    <w:rsid w:val="6ED23580"/>
    <w:rsid w:val="6ED50AAC"/>
    <w:rsid w:val="6ED77AC9"/>
    <w:rsid w:val="6ED81266"/>
    <w:rsid w:val="6ED9695E"/>
    <w:rsid w:val="6EE552AE"/>
    <w:rsid w:val="6EE6155F"/>
    <w:rsid w:val="6EE7387F"/>
    <w:rsid w:val="6EE74820"/>
    <w:rsid w:val="6EE74BBF"/>
    <w:rsid w:val="6EE84440"/>
    <w:rsid w:val="6EED1071"/>
    <w:rsid w:val="6EEF1F64"/>
    <w:rsid w:val="6EEF31E7"/>
    <w:rsid w:val="6EEF523F"/>
    <w:rsid w:val="6EF060D2"/>
    <w:rsid w:val="6EF1380B"/>
    <w:rsid w:val="6EF46D15"/>
    <w:rsid w:val="6EF704AD"/>
    <w:rsid w:val="6EF75633"/>
    <w:rsid w:val="6EFB72FD"/>
    <w:rsid w:val="6F020FE7"/>
    <w:rsid w:val="6F086052"/>
    <w:rsid w:val="6F091E6B"/>
    <w:rsid w:val="6F0D59E8"/>
    <w:rsid w:val="6F0E0EAE"/>
    <w:rsid w:val="6F103982"/>
    <w:rsid w:val="6F120FD5"/>
    <w:rsid w:val="6F174AE6"/>
    <w:rsid w:val="6F1A15E6"/>
    <w:rsid w:val="6F1C0078"/>
    <w:rsid w:val="6F1F5C9A"/>
    <w:rsid w:val="6F207C22"/>
    <w:rsid w:val="6F24364F"/>
    <w:rsid w:val="6F26096F"/>
    <w:rsid w:val="6F276520"/>
    <w:rsid w:val="6F280137"/>
    <w:rsid w:val="6F2B5644"/>
    <w:rsid w:val="6F2C4BF9"/>
    <w:rsid w:val="6F306CBF"/>
    <w:rsid w:val="6F326DE0"/>
    <w:rsid w:val="6F38504A"/>
    <w:rsid w:val="6F3B13C0"/>
    <w:rsid w:val="6F3C28D3"/>
    <w:rsid w:val="6F3C653A"/>
    <w:rsid w:val="6F434F11"/>
    <w:rsid w:val="6F460E35"/>
    <w:rsid w:val="6F47098F"/>
    <w:rsid w:val="6F490A11"/>
    <w:rsid w:val="6F494AAA"/>
    <w:rsid w:val="6F4C1CC6"/>
    <w:rsid w:val="6F4C5B78"/>
    <w:rsid w:val="6F4D38DD"/>
    <w:rsid w:val="6F4F5636"/>
    <w:rsid w:val="6F4F5997"/>
    <w:rsid w:val="6F516D68"/>
    <w:rsid w:val="6F5E2834"/>
    <w:rsid w:val="6F614A01"/>
    <w:rsid w:val="6F614DAA"/>
    <w:rsid w:val="6F63395F"/>
    <w:rsid w:val="6F65176D"/>
    <w:rsid w:val="6F6756FF"/>
    <w:rsid w:val="6F67618C"/>
    <w:rsid w:val="6F6873BB"/>
    <w:rsid w:val="6F6A4BCF"/>
    <w:rsid w:val="6F6C144B"/>
    <w:rsid w:val="6F704F2A"/>
    <w:rsid w:val="6F71543A"/>
    <w:rsid w:val="6F73175C"/>
    <w:rsid w:val="6F782802"/>
    <w:rsid w:val="6F7A0F7A"/>
    <w:rsid w:val="6F7A5E2C"/>
    <w:rsid w:val="6F7B5A40"/>
    <w:rsid w:val="6F7C53B7"/>
    <w:rsid w:val="6F834995"/>
    <w:rsid w:val="6F8473C8"/>
    <w:rsid w:val="6F8E732A"/>
    <w:rsid w:val="6F946841"/>
    <w:rsid w:val="6F950495"/>
    <w:rsid w:val="6F984BAE"/>
    <w:rsid w:val="6F9B010E"/>
    <w:rsid w:val="6F9B2878"/>
    <w:rsid w:val="6F9B4B1F"/>
    <w:rsid w:val="6F9B631D"/>
    <w:rsid w:val="6F9C6E6C"/>
    <w:rsid w:val="6F9E2FCA"/>
    <w:rsid w:val="6F9E3F73"/>
    <w:rsid w:val="6F9F3627"/>
    <w:rsid w:val="6FA162C5"/>
    <w:rsid w:val="6FA266A6"/>
    <w:rsid w:val="6FA50F01"/>
    <w:rsid w:val="6FA62EF7"/>
    <w:rsid w:val="6FA636C5"/>
    <w:rsid w:val="6FA64B7F"/>
    <w:rsid w:val="6FAD71E2"/>
    <w:rsid w:val="6FBC4C32"/>
    <w:rsid w:val="6FBD1A2B"/>
    <w:rsid w:val="6FBE0583"/>
    <w:rsid w:val="6FC166DE"/>
    <w:rsid w:val="6FC231CF"/>
    <w:rsid w:val="6FC64479"/>
    <w:rsid w:val="6FC80528"/>
    <w:rsid w:val="6FCA6F56"/>
    <w:rsid w:val="6FCB1D81"/>
    <w:rsid w:val="6FCB589E"/>
    <w:rsid w:val="6FCC05B3"/>
    <w:rsid w:val="6FCC54DB"/>
    <w:rsid w:val="6FCE5CA6"/>
    <w:rsid w:val="6FD342DB"/>
    <w:rsid w:val="6FD66F6F"/>
    <w:rsid w:val="6FD72671"/>
    <w:rsid w:val="6FDA11D3"/>
    <w:rsid w:val="6FDB0A67"/>
    <w:rsid w:val="6FDB5273"/>
    <w:rsid w:val="6FDF4EB5"/>
    <w:rsid w:val="6FE16671"/>
    <w:rsid w:val="6FE343F9"/>
    <w:rsid w:val="6FE40B28"/>
    <w:rsid w:val="6FE55C80"/>
    <w:rsid w:val="6FE7080A"/>
    <w:rsid w:val="6FE7611A"/>
    <w:rsid w:val="6FE81DAD"/>
    <w:rsid w:val="6FE85A4E"/>
    <w:rsid w:val="6FE95FBE"/>
    <w:rsid w:val="6FEE2F14"/>
    <w:rsid w:val="6FF06833"/>
    <w:rsid w:val="6FF31B34"/>
    <w:rsid w:val="6FF32866"/>
    <w:rsid w:val="6FF85CED"/>
    <w:rsid w:val="6FFF1DA2"/>
    <w:rsid w:val="70004B13"/>
    <w:rsid w:val="700401B3"/>
    <w:rsid w:val="700462C8"/>
    <w:rsid w:val="70081245"/>
    <w:rsid w:val="7009594E"/>
    <w:rsid w:val="700B772E"/>
    <w:rsid w:val="700C5AD4"/>
    <w:rsid w:val="700E3726"/>
    <w:rsid w:val="700F2117"/>
    <w:rsid w:val="7013301B"/>
    <w:rsid w:val="70176A0A"/>
    <w:rsid w:val="701C49B4"/>
    <w:rsid w:val="701C7B3D"/>
    <w:rsid w:val="701F2698"/>
    <w:rsid w:val="70200810"/>
    <w:rsid w:val="7021629F"/>
    <w:rsid w:val="70235095"/>
    <w:rsid w:val="70235B9B"/>
    <w:rsid w:val="70251B05"/>
    <w:rsid w:val="70252261"/>
    <w:rsid w:val="702549D7"/>
    <w:rsid w:val="702806F0"/>
    <w:rsid w:val="702908B6"/>
    <w:rsid w:val="70291A46"/>
    <w:rsid w:val="702B6F4E"/>
    <w:rsid w:val="702B7F4F"/>
    <w:rsid w:val="702E21A1"/>
    <w:rsid w:val="702F40D8"/>
    <w:rsid w:val="70334464"/>
    <w:rsid w:val="70345FAD"/>
    <w:rsid w:val="703477D1"/>
    <w:rsid w:val="70396B98"/>
    <w:rsid w:val="703B6216"/>
    <w:rsid w:val="704007D1"/>
    <w:rsid w:val="704477CD"/>
    <w:rsid w:val="70451B3C"/>
    <w:rsid w:val="704575C7"/>
    <w:rsid w:val="70460FCE"/>
    <w:rsid w:val="70480336"/>
    <w:rsid w:val="70496CAE"/>
    <w:rsid w:val="704C3465"/>
    <w:rsid w:val="704E2482"/>
    <w:rsid w:val="704E79A7"/>
    <w:rsid w:val="7052194D"/>
    <w:rsid w:val="70534325"/>
    <w:rsid w:val="7053447C"/>
    <w:rsid w:val="70566721"/>
    <w:rsid w:val="70586D00"/>
    <w:rsid w:val="705B7C91"/>
    <w:rsid w:val="705F7EC1"/>
    <w:rsid w:val="7063258D"/>
    <w:rsid w:val="7066458E"/>
    <w:rsid w:val="706A22A0"/>
    <w:rsid w:val="706A5FB4"/>
    <w:rsid w:val="706A7235"/>
    <w:rsid w:val="706C4FE5"/>
    <w:rsid w:val="706F1022"/>
    <w:rsid w:val="706F5B23"/>
    <w:rsid w:val="707142B5"/>
    <w:rsid w:val="707C3DBD"/>
    <w:rsid w:val="707E1B2F"/>
    <w:rsid w:val="707E447B"/>
    <w:rsid w:val="70822022"/>
    <w:rsid w:val="70845D58"/>
    <w:rsid w:val="708466AB"/>
    <w:rsid w:val="708619B1"/>
    <w:rsid w:val="708C2309"/>
    <w:rsid w:val="708D4F79"/>
    <w:rsid w:val="708D6591"/>
    <w:rsid w:val="70921086"/>
    <w:rsid w:val="7096414D"/>
    <w:rsid w:val="70990E98"/>
    <w:rsid w:val="709B0CCA"/>
    <w:rsid w:val="709C5454"/>
    <w:rsid w:val="709C5B29"/>
    <w:rsid w:val="70A277C6"/>
    <w:rsid w:val="70A509E9"/>
    <w:rsid w:val="70AA7919"/>
    <w:rsid w:val="70AC5C95"/>
    <w:rsid w:val="70AE630B"/>
    <w:rsid w:val="70B45435"/>
    <w:rsid w:val="70B61262"/>
    <w:rsid w:val="70BB211A"/>
    <w:rsid w:val="70BC49AE"/>
    <w:rsid w:val="70C1603B"/>
    <w:rsid w:val="70C60D2E"/>
    <w:rsid w:val="70C97845"/>
    <w:rsid w:val="70CF0032"/>
    <w:rsid w:val="70CF37DF"/>
    <w:rsid w:val="70D15CA2"/>
    <w:rsid w:val="70D769FA"/>
    <w:rsid w:val="70D76C34"/>
    <w:rsid w:val="70D80D23"/>
    <w:rsid w:val="70D8670E"/>
    <w:rsid w:val="70D95570"/>
    <w:rsid w:val="70DD13EB"/>
    <w:rsid w:val="70DD6820"/>
    <w:rsid w:val="70DE62B1"/>
    <w:rsid w:val="70E22D89"/>
    <w:rsid w:val="70E33F0B"/>
    <w:rsid w:val="70E53997"/>
    <w:rsid w:val="70E63C41"/>
    <w:rsid w:val="70E84BE7"/>
    <w:rsid w:val="70E948D8"/>
    <w:rsid w:val="70EB66E3"/>
    <w:rsid w:val="70ED1DE6"/>
    <w:rsid w:val="70ED26F5"/>
    <w:rsid w:val="70F00528"/>
    <w:rsid w:val="70F0501D"/>
    <w:rsid w:val="70F506CB"/>
    <w:rsid w:val="70F967C5"/>
    <w:rsid w:val="70FA3F60"/>
    <w:rsid w:val="70FB7DDA"/>
    <w:rsid w:val="70FD6337"/>
    <w:rsid w:val="71017589"/>
    <w:rsid w:val="71022C36"/>
    <w:rsid w:val="71024097"/>
    <w:rsid w:val="710302CA"/>
    <w:rsid w:val="710B3AE6"/>
    <w:rsid w:val="710D7231"/>
    <w:rsid w:val="710F71D1"/>
    <w:rsid w:val="71116D39"/>
    <w:rsid w:val="71122CC0"/>
    <w:rsid w:val="711571DE"/>
    <w:rsid w:val="71166F32"/>
    <w:rsid w:val="71176282"/>
    <w:rsid w:val="711D4319"/>
    <w:rsid w:val="71207877"/>
    <w:rsid w:val="71280B0F"/>
    <w:rsid w:val="71297E12"/>
    <w:rsid w:val="712A436F"/>
    <w:rsid w:val="712C5623"/>
    <w:rsid w:val="712E3F85"/>
    <w:rsid w:val="712F4AD1"/>
    <w:rsid w:val="71305C09"/>
    <w:rsid w:val="713144CB"/>
    <w:rsid w:val="71360DF8"/>
    <w:rsid w:val="713612B6"/>
    <w:rsid w:val="713636A1"/>
    <w:rsid w:val="71373940"/>
    <w:rsid w:val="713D46D1"/>
    <w:rsid w:val="713D6ECA"/>
    <w:rsid w:val="71402DEF"/>
    <w:rsid w:val="71405B58"/>
    <w:rsid w:val="71421AC8"/>
    <w:rsid w:val="71446D9F"/>
    <w:rsid w:val="71476D38"/>
    <w:rsid w:val="714928A9"/>
    <w:rsid w:val="714A2B4C"/>
    <w:rsid w:val="714C5E23"/>
    <w:rsid w:val="714D0955"/>
    <w:rsid w:val="714D382D"/>
    <w:rsid w:val="715328F0"/>
    <w:rsid w:val="71542AC3"/>
    <w:rsid w:val="715850E6"/>
    <w:rsid w:val="715A3520"/>
    <w:rsid w:val="715A389F"/>
    <w:rsid w:val="715C5D33"/>
    <w:rsid w:val="715F43B3"/>
    <w:rsid w:val="71606DD5"/>
    <w:rsid w:val="71635270"/>
    <w:rsid w:val="71646378"/>
    <w:rsid w:val="71652540"/>
    <w:rsid w:val="71655333"/>
    <w:rsid w:val="71665E2D"/>
    <w:rsid w:val="71666CED"/>
    <w:rsid w:val="71692C23"/>
    <w:rsid w:val="716B4A8D"/>
    <w:rsid w:val="716E544F"/>
    <w:rsid w:val="71700C2A"/>
    <w:rsid w:val="717432B3"/>
    <w:rsid w:val="71745E33"/>
    <w:rsid w:val="717501A8"/>
    <w:rsid w:val="71783C25"/>
    <w:rsid w:val="71794266"/>
    <w:rsid w:val="717B3CC4"/>
    <w:rsid w:val="717B4251"/>
    <w:rsid w:val="717C1306"/>
    <w:rsid w:val="717D1F31"/>
    <w:rsid w:val="717D38AC"/>
    <w:rsid w:val="717D3A38"/>
    <w:rsid w:val="717E1A99"/>
    <w:rsid w:val="717F1274"/>
    <w:rsid w:val="71823A98"/>
    <w:rsid w:val="718242BF"/>
    <w:rsid w:val="71864932"/>
    <w:rsid w:val="71884819"/>
    <w:rsid w:val="718A1788"/>
    <w:rsid w:val="718A40AF"/>
    <w:rsid w:val="718B4B6E"/>
    <w:rsid w:val="719278F8"/>
    <w:rsid w:val="7195021D"/>
    <w:rsid w:val="719D3FE7"/>
    <w:rsid w:val="719F0FB4"/>
    <w:rsid w:val="719F2E45"/>
    <w:rsid w:val="719F5589"/>
    <w:rsid w:val="71A24CDC"/>
    <w:rsid w:val="71A3021C"/>
    <w:rsid w:val="71A411E7"/>
    <w:rsid w:val="71A44E0B"/>
    <w:rsid w:val="71A74540"/>
    <w:rsid w:val="71A91D61"/>
    <w:rsid w:val="71B104B5"/>
    <w:rsid w:val="71B34A42"/>
    <w:rsid w:val="71B87FFB"/>
    <w:rsid w:val="71B90FC6"/>
    <w:rsid w:val="71BA08F8"/>
    <w:rsid w:val="71BD33D7"/>
    <w:rsid w:val="71C14ADF"/>
    <w:rsid w:val="71C31315"/>
    <w:rsid w:val="71C352A7"/>
    <w:rsid w:val="71C41D9C"/>
    <w:rsid w:val="71C53F28"/>
    <w:rsid w:val="71C65A01"/>
    <w:rsid w:val="71CC54FC"/>
    <w:rsid w:val="71CF43F6"/>
    <w:rsid w:val="71D731A6"/>
    <w:rsid w:val="71D8764E"/>
    <w:rsid w:val="71D909F4"/>
    <w:rsid w:val="71DC080F"/>
    <w:rsid w:val="71E045F2"/>
    <w:rsid w:val="71E418C8"/>
    <w:rsid w:val="71E51363"/>
    <w:rsid w:val="71E531ED"/>
    <w:rsid w:val="71E55D9F"/>
    <w:rsid w:val="71E5737B"/>
    <w:rsid w:val="71E6461C"/>
    <w:rsid w:val="71EA7D0E"/>
    <w:rsid w:val="71EB2160"/>
    <w:rsid w:val="71EB4AF4"/>
    <w:rsid w:val="71EB58F5"/>
    <w:rsid w:val="71EE0739"/>
    <w:rsid w:val="71EF5EE2"/>
    <w:rsid w:val="71F10FFA"/>
    <w:rsid w:val="71F22C32"/>
    <w:rsid w:val="71F3640F"/>
    <w:rsid w:val="71F61CC0"/>
    <w:rsid w:val="71F64915"/>
    <w:rsid w:val="71F84587"/>
    <w:rsid w:val="71FB3D05"/>
    <w:rsid w:val="71FE115E"/>
    <w:rsid w:val="72005E32"/>
    <w:rsid w:val="720604C8"/>
    <w:rsid w:val="72062B8C"/>
    <w:rsid w:val="720A581F"/>
    <w:rsid w:val="720B5486"/>
    <w:rsid w:val="720E10D1"/>
    <w:rsid w:val="720E5990"/>
    <w:rsid w:val="72153B75"/>
    <w:rsid w:val="72156613"/>
    <w:rsid w:val="72180B5F"/>
    <w:rsid w:val="721C04B6"/>
    <w:rsid w:val="721C5A3D"/>
    <w:rsid w:val="72223E7D"/>
    <w:rsid w:val="72233A73"/>
    <w:rsid w:val="72236C7A"/>
    <w:rsid w:val="7225337B"/>
    <w:rsid w:val="72273C3C"/>
    <w:rsid w:val="722C0CBB"/>
    <w:rsid w:val="722F228A"/>
    <w:rsid w:val="7232272C"/>
    <w:rsid w:val="72361235"/>
    <w:rsid w:val="723905FD"/>
    <w:rsid w:val="72392075"/>
    <w:rsid w:val="72426590"/>
    <w:rsid w:val="72447FF8"/>
    <w:rsid w:val="72472447"/>
    <w:rsid w:val="7249728B"/>
    <w:rsid w:val="724C481B"/>
    <w:rsid w:val="724C4C67"/>
    <w:rsid w:val="724C608D"/>
    <w:rsid w:val="724D5FAB"/>
    <w:rsid w:val="724F0907"/>
    <w:rsid w:val="724F3C79"/>
    <w:rsid w:val="72521ACD"/>
    <w:rsid w:val="72531CCB"/>
    <w:rsid w:val="72573D7C"/>
    <w:rsid w:val="72577013"/>
    <w:rsid w:val="7257786A"/>
    <w:rsid w:val="7258173B"/>
    <w:rsid w:val="725F54CE"/>
    <w:rsid w:val="72604FCC"/>
    <w:rsid w:val="72664089"/>
    <w:rsid w:val="72665AF6"/>
    <w:rsid w:val="7270222A"/>
    <w:rsid w:val="727261A6"/>
    <w:rsid w:val="72752465"/>
    <w:rsid w:val="72760B6C"/>
    <w:rsid w:val="7276520D"/>
    <w:rsid w:val="727A5688"/>
    <w:rsid w:val="727A652F"/>
    <w:rsid w:val="727E0C8F"/>
    <w:rsid w:val="727E1708"/>
    <w:rsid w:val="72830662"/>
    <w:rsid w:val="72840603"/>
    <w:rsid w:val="72876BE0"/>
    <w:rsid w:val="728903CF"/>
    <w:rsid w:val="728E1287"/>
    <w:rsid w:val="728E1B51"/>
    <w:rsid w:val="728F6EF2"/>
    <w:rsid w:val="72906A77"/>
    <w:rsid w:val="729167E8"/>
    <w:rsid w:val="72917C02"/>
    <w:rsid w:val="72944B68"/>
    <w:rsid w:val="72970C96"/>
    <w:rsid w:val="72982D96"/>
    <w:rsid w:val="7298745B"/>
    <w:rsid w:val="72990426"/>
    <w:rsid w:val="729B2C93"/>
    <w:rsid w:val="729C1B16"/>
    <w:rsid w:val="72A139D5"/>
    <w:rsid w:val="72A31FCE"/>
    <w:rsid w:val="72A62643"/>
    <w:rsid w:val="72A66EB1"/>
    <w:rsid w:val="72AB51C6"/>
    <w:rsid w:val="72AE379C"/>
    <w:rsid w:val="72AE4178"/>
    <w:rsid w:val="72B23B0D"/>
    <w:rsid w:val="72B30002"/>
    <w:rsid w:val="72B3248D"/>
    <w:rsid w:val="72B74125"/>
    <w:rsid w:val="72BD79ED"/>
    <w:rsid w:val="72BE653E"/>
    <w:rsid w:val="72C22C2B"/>
    <w:rsid w:val="72C32A81"/>
    <w:rsid w:val="72C820D9"/>
    <w:rsid w:val="72C8676F"/>
    <w:rsid w:val="72CD091A"/>
    <w:rsid w:val="72CD5A13"/>
    <w:rsid w:val="72D007BC"/>
    <w:rsid w:val="72D10B19"/>
    <w:rsid w:val="72D21E52"/>
    <w:rsid w:val="72D2351D"/>
    <w:rsid w:val="72D32ABD"/>
    <w:rsid w:val="72D941F8"/>
    <w:rsid w:val="72DB78DC"/>
    <w:rsid w:val="72DC7EAC"/>
    <w:rsid w:val="72E101C4"/>
    <w:rsid w:val="72E34142"/>
    <w:rsid w:val="72E56044"/>
    <w:rsid w:val="72E61E6A"/>
    <w:rsid w:val="72E96A5F"/>
    <w:rsid w:val="72F026CB"/>
    <w:rsid w:val="72F23B32"/>
    <w:rsid w:val="72F279FF"/>
    <w:rsid w:val="72F30BED"/>
    <w:rsid w:val="72F5025E"/>
    <w:rsid w:val="72F67A0F"/>
    <w:rsid w:val="72FB4135"/>
    <w:rsid w:val="72FC52A3"/>
    <w:rsid w:val="72FD7916"/>
    <w:rsid w:val="72FF158F"/>
    <w:rsid w:val="730038E1"/>
    <w:rsid w:val="730508C2"/>
    <w:rsid w:val="73052885"/>
    <w:rsid w:val="730618B0"/>
    <w:rsid w:val="730A7FF3"/>
    <w:rsid w:val="7313714D"/>
    <w:rsid w:val="73161CA6"/>
    <w:rsid w:val="73167571"/>
    <w:rsid w:val="731978AE"/>
    <w:rsid w:val="73197A3E"/>
    <w:rsid w:val="731B39A7"/>
    <w:rsid w:val="731D058F"/>
    <w:rsid w:val="731F2903"/>
    <w:rsid w:val="731F6F62"/>
    <w:rsid w:val="732328AD"/>
    <w:rsid w:val="73234D99"/>
    <w:rsid w:val="7323735B"/>
    <w:rsid w:val="73286B73"/>
    <w:rsid w:val="73297528"/>
    <w:rsid w:val="732B691C"/>
    <w:rsid w:val="732F2163"/>
    <w:rsid w:val="73320B53"/>
    <w:rsid w:val="733528D1"/>
    <w:rsid w:val="7336445D"/>
    <w:rsid w:val="733A238B"/>
    <w:rsid w:val="733E7BE1"/>
    <w:rsid w:val="73426393"/>
    <w:rsid w:val="7345423E"/>
    <w:rsid w:val="73496F82"/>
    <w:rsid w:val="73497EE5"/>
    <w:rsid w:val="734F028F"/>
    <w:rsid w:val="73503C8C"/>
    <w:rsid w:val="73507BA9"/>
    <w:rsid w:val="73511C7B"/>
    <w:rsid w:val="73523D2E"/>
    <w:rsid w:val="735323E2"/>
    <w:rsid w:val="73541EA3"/>
    <w:rsid w:val="73555773"/>
    <w:rsid w:val="735639CE"/>
    <w:rsid w:val="7356408B"/>
    <w:rsid w:val="735B700C"/>
    <w:rsid w:val="735D6B4A"/>
    <w:rsid w:val="735F7A32"/>
    <w:rsid w:val="73605C3A"/>
    <w:rsid w:val="736132FF"/>
    <w:rsid w:val="73631E5A"/>
    <w:rsid w:val="7363403F"/>
    <w:rsid w:val="736951F0"/>
    <w:rsid w:val="736D37B7"/>
    <w:rsid w:val="736E2CF8"/>
    <w:rsid w:val="736E320C"/>
    <w:rsid w:val="736F08A6"/>
    <w:rsid w:val="73715C25"/>
    <w:rsid w:val="73720769"/>
    <w:rsid w:val="7374238A"/>
    <w:rsid w:val="7374664A"/>
    <w:rsid w:val="73762896"/>
    <w:rsid w:val="737670E7"/>
    <w:rsid w:val="737C26BF"/>
    <w:rsid w:val="737C711C"/>
    <w:rsid w:val="737D0F57"/>
    <w:rsid w:val="737E6BF0"/>
    <w:rsid w:val="737F5BC7"/>
    <w:rsid w:val="73806AA0"/>
    <w:rsid w:val="73884186"/>
    <w:rsid w:val="73890D34"/>
    <w:rsid w:val="738A0E4B"/>
    <w:rsid w:val="738A7DE7"/>
    <w:rsid w:val="738D3074"/>
    <w:rsid w:val="738F2F4B"/>
    <w:rsid w:val="73934703"/>
    <w:rsid w:val="739450FB"/>
    <w:rsid w:val="73955A31"/>
    <w:rsid w:val="73957F74"/>
    <w:rsid w:val="739659E1"/>
    <w:rsid w:val="73966181"/>
    <w:rsid w:val="73975EAB"/>
    <w:rsid w:val="739E2614"/>
    <w:rsid w:val="739F1CAF"/>
    <w:rsid w:val="73A10C5A"/>
    <w:rsid w:val="73A50DA7"/>
    <w:rsid w:val="73A621AB"/>
    <w:rsid w:val="73AB0426"/>
    <w:rsid w:val="73AE3B1D"/>
    <w:rsid w:val="73AF0B58"/>
    <w:rsid w:val="73B054EF"/>
    <w:rsid w:val="73B35A44"/>
    <w:rsid w:val="73B52705"/>
    <w:rsid w:val="73B57837"/>
    <w:rsid w:val="73B6084A"/>
    <w:rsid w:val="73B82B5E"/>
    <w:rsid w:val="73BA0032"/>
    <w:rsid w:val="73BB2705"/>
    <w:rsid w:val="73BD3A62"/>
    <w:rsid w:val="73BF50CA"/>
    <w:rsid w:val="73C10D53"/>
    <w:rsid w:val="73C571A8"/>
    <w:rsid w:val="73C6139C"/>
    <w:rsid w:val="73C67BCF"/>
    <w:rsid w:val="73C8263B"/>
    <w:rsid w:val="73C97AE1"/>
    <w:rsid w:val="73CE39A3"/>
    <w:rsid w:val="73D06815"/>
    <w:rsid w:val="73D87027"/>
    <w:rsid w:val="73DC4FBB"/>
    <w:rsid w:val="73DE6E7D"/>
    <w:rsid w:val="73DF0AD3"/>
    <w:rsid w:val="73E143F5"/>
    <w:rsid w:val="73E15CBB"/>
    <w:rsid w:val="73E2728E"/>
    <w:rsid w:val="73E854A6"/>
    <w:rsid w:val="73E96437"/>
    <w:rsid w:val="73EE4E55"/>
    <w:rsid w:val="73EF5C78"/>
    <w:rsid w:val="73F43EE4"/>
    <w:rsid w:val="73F4553A"/>
    <w:rsid w:val="73F51834"/>
    <w:rsid w:val="73F728FF"/>
    <w:rsid w:val="73FC3287"/>
    <w:rsid w:val="73FE77BA"/>
    <w:rsid w:val="740557CC"/>
    <w:rsid w:val="74057762"/>
    <w:rsid w:val="740613E2"/>
    <w:rsid w:val="740A5C98"/>
    <w:rsid w:val="740D2DCF"/>
    <w:rsid w:val="740F274E"/>
    <w:rsid w:val="741125E3"/>
    <w:rsid w:val="7416192F"/>
    <w:rsid w:val="74164032"/>
    <w:rsid w:val="7417356C"/>
    <w:rsid w:val="741924A8"/>
    <w:rsid w:val="74195049"/>
    <w:rsid w:val="741B4EC0"/>
    <w:rsid w:val="741D647B"/>
    <w:rsid w:val="741E1880"/>
    <w:rsid w:val="74214DCA"/>
    <w:rsid w:val="742638CC"/>
    <w:rsid w:val="742740AC"/>
    <w:rsid w:val="74294132"/>
    <w:rsid w:val="742D462D"/>
    <w:rsid w:val="74315921"/>
    <w:rsid w:val="74367638"/>
    <w:rsid w:val="743708B8"/>
    <w:rsid w:val="74382792"/>
    <w:rsid w:val="7439294B"/>
    <w:rsid w:val="74393922"/>
    <w:rsid w:val="743F0249"/>
    <w:rsid w:val="744403F0"/>
    <w:rsid w:val="74440BD2"/>
    <w:rsid w:val="744432EC"/>
    <w:rsid w:val="74492760"/>
    <w:rsid w:val="744F7BD0"/>
    <w:rsid w:val="74555726"/>
    <w:rsid w:val="74567BF8"/>
    <w:rsid w:val="74584878"/>
    <w:rsid w:val="74590C32"/>
    <w:rsid w:val="745D4CFB"/>
    <w:rsid w:val="745D66EB"/>
    <w:rsid w:val="745F40D5"/>
    <w:rsid w:val="746034F1"/>
    <w:rsid w:val="74632CA5"/>
    <w:rsid w:val="74671938"/>
    <w:rsid w:val="74673F4F"/>
    <w:rsid w:val="746855D1"/>
    <w:rsid w:val="74685C53"/>
    <w:rsid w:val="746D2C31"/>
    <w:rsid w:val="746E1CBF"/>
    <w:rsid w:val="746F73BD"/>
    <w:rsid w:val="74731FB0"/>
    <w:rsid w:val="74752250"/>
    <w:rsid w:val="74785D12"/>
    <w:rsid w:val="747A51A0"/>
    <w:rsid w:val="747D6040"/>
    <w:rsid w:val="7486310A"/>
    <w:rsid w:val="74863390"/>
    <w:rsid w:val="748A0F85"/>
    <w:rsid w:val="748E33F5"/>
    <w:rsid w:val="748E3D4F"/>
    <w:rsid w:val="748E5BB9"/>
    <w:rsid w:val="7490323A"/>
    <w:rsid w:val="74914A87"/>
    <w:rsid w:val="74942D26"/>
    <w:rsid w:val="749C6865"/>
    <w:rsid w:val="749E6B85"/>
    <w:rsid w:val="74A01C68"/>
    <w:rsid w:val="74A467EC"/>
    <w:rsid w:val="74A64C33"/>
    <w:rsid w:val="74AA3A7C"/>
    <w:rsid w:val="74AD3AAF"/>
    <w:rsid w:val="74AD4379"/>
    <w:rsid w:val="74B3689E"/>
    <w:rsid w:val="74B44080"/>
    <w:rsid w:val="74B56C17"/>
    <w:rsid w:val="74B618B5"/>
    <w:rsid w:val="74B86566"/>
    <w:rsid w:val="74B90203"/>
    <w:rsid w:val="74BB2CE1"/>
    <w:rsid w:val="74BD792F"/>
    <w:rsid w:val="74BE2233"/>
    <w:rsid w:val="74C13B4C"/>
    <w:rsid w:val="74C21445"/>
    <w:rsid w:val="74C80655"/>
    <w:rsid w:val="74CC2B3D"/>
    <w:rsid w:val="74CF6D3A"/>
    <w:rsid w:val="74D036A8"/>
    <w:rsid w:val="74D23938"/>
    <w:rsid w:val="74D362A9"/>
    <w:rsid w:val="74D71209"/>
    <w:rsid w:val="74D84477"/>
    <w:rsid w:val="74D90486"/>
    <w:rsid w:val="74D95309"/>
    <w:rsid w:val="74D96803"/>
    <w:rsid w:val="74DA0FAA"/>
    <w:rsid w:val="74DB7439"/>
    <w:rsid w:val="74DB7A93"/>
    <w:rsid w:val="74DC42D5"/>
    <w:rsid w:val="74E33CC8"/>
    <w:rsid w:val="74E846A1"/>
    <w:rsid w:val="74E910BF"/>
    <w:rsid w:val="74EA5E40"/>
    <w:rsid w:val="74EB7615"/>
    <w:rsid w:val="74ED776C"/>
    <w:rsid w:val="74EE5B94"/>
    <w:rsid w:val="74F05332"/>
    <w:rsid w:val="74F37C43"/>
    <w:rsid w:val="74F47B80"/>
    <w:rsid w:val="74F817CB"/>
    <w:rsid w:val="74FA452C"/>
    <w:rsid w:val="74FE16EF"/>
    <w:rsid w:val="74FE2186"/>
    <w:rsid w:val="74FF0672"/>
    <w:rsid w:val="75000CBE"/>
    <w:rsid w:val="750023A4"/>
    <w:rsid w:val="75012F18"/>
    <w:rsid w:val="750365FD"/>
    <w:rsid w:val="75045954"/>
    <w:rsid w:val="750B157E"/>
    <w:rsid w:val="750C0E02"/>
    <w:rsid w:val="750E5554"/>
    <w:rsid w:val="75106F59"/>
    <w:rsid w:val="75112174"/>
    <w:rsid w:val="75193B2F"/>
    <w:rsid w:val="75195428"/>
    <w:rsid w:val="7519564B"/>
    <w:rsid w:val="751A2254"/>
    <w:rsid w:val="751A473E"/>
    <w:rsid w:val="751A7098"/>
    <w:rsid w:val="751E2B7C"/>
    <w:rsid w:val="75207E3E"/>
    <w:rsid w:val="75222701"/>
    <w:rsid w:val="7524078B"/>
    <w:rsid w:val="75251B27"/>
    <w:rsid w:val="752549D8"/>
    <w:rsid w:val="75290CCA"/>
    <w:rsid w:val="75297641"/>
    <w:rsid w:val="752B16CF"/>
    <w:rsid w:val="752D39BC"/>
    <w:rsid w:val="752E26AE"/>
    <w:rsid w:val="752F07ED"/>
    <w:rsid w:val="75323A7B"/>
    <w:rsid w:val="75337596"/>
    <w:rsid w:val="7537040D"/>
    <w:rsid w:val="75372642"/>
    <w:rsid w:val="753811C4"/>
    <w:rsid w:val="753918B9"/>
    <w:rsid w:val="753B443D"/>
    <w:rsid w:val="754019EB"/>
    <w:rsid w:val="75407FDF"/>
    <w:rsid w:val="754146D3"/>
    <w:rsid w:val="7545232B"/>
    <w:rsid w:val="75464249"/>
    <w:rsid w:val="75466513"/>
    <w:rsid w:val="75473DC4"/>
    <w:rsid w:val="754929AF"/>
    <w:rsid w:val="754A6701"/>
    <w:rsid w:val="754D366A"/>
    <w:rsid w:val="754F6938"/>
    <w:rsid w:val="75507FAC"/>
    <w:rsid w:val="755209BE"/>
    <w:rsid w:val="75523538"/>
    <w:rsid w:val="75523F2A"/>
    <w:rsid w:val="755A1251"/>
    <w:rsid w:val="755B5940"/>
    <w:rsid w:val="755E74CC"/>
    <w:rsid w:val="75675DE1"/>
    <w:rsid w:val="756A189F"/>
    <w:rsid w:val="756B2CD2"/>
    <w:rsid w:val="756C4A13"/>
    <w:rsid w:val="756D31FE"/>
    <w:rsid w:val="756D5CF4"/>
    <w:rsid w:val="757016C7"/>
    <w:rsid w:val="75725706"/>
    <w:rsid w:val="75736E27"/>
    <w:rsid w:val="75737F16"/>
    <w:rsid w:val="75782FE9"/>
    <w:rsid w:val="75784A68"/>
    <w:rsid w:val="757E06A3"/>
    <w:rsid w:val="75800016"/>
    <w:rsid w:val="75844E9A"/>
    <w:rsid w:val="758A27AB"/>
    <w:rsid w:val="758A4B8E"/>
    <w:rsid w:val="758C4AA6"/>
    <w:rsid w:val="758E2996"/>
    <w:rsid w:val="758E39B2"/>
    <w:rsid w:val="7590006A"/>
    <w:rsid w:val="75960720"/>
    <w:rsid w:val="75975540"/>
    <w:rsid w:val="759E7050"/>
    <w:rsid w:val="759F301F"/>
    <w:rsid w:val="75A1108F"/>
    <w:rsid w:val="75A50229"/>
    <w:rsid w:val="75A865A2"/>
    <w:rsid w:val="75A92B06"/>
    <w:rsid w:val="75AC1DB2"/>
    <w:rsid w:val="75AF5CB5"/>
    <w:rsid w:val="75B01498"/>
    <w:rsid w:val="75B06FE2"/>
    <w:rsid w:val="75B56679"/>
    <w:rsid w:val="75B6798C"/>
    <w:rsid w:val="75B75E85"/>
    <w:rsid w:val="75B776E5"/>
    <w:rsid w:val="75B81CBB"/>
    <w:rsid w:val="75B9530F"/>
    <w:rsid w:val="75BE03AB"/>
    <w:rsid w:val="75BF1E07"/>
    <w:rsid w:val="75BF6B81"/>
    <w:rsid w:val="75C1322D"/>
    <w:rsid w:val="75C65B48"/>
    <w:rsid w:val="75C77153"/>
    <w:rsid w:val="75C83A46"/>
    <w:rsid w:val="75CA1A64"/>
    <w:rsid w:val="75CB13F0"/>
    <w:rsid w:val="75D13F3C"/>
    <w:rsid w:val="75D562B1"/>
    <w:rsid w:val="75D91913"/>
    <w:rsid w:val="75DC3D2C"/>
    <w:rsid w:val="75DD233D"/>
    <w:rsid w:val="75E747B4"/>
    <w:rsid w:val="75E82953"/>
    <w:rsid w:val="75E95CA0"/>
    <w:rsid w:val="75EB5AC6"/>
    <w:rsid w:val="75EC2DFC"/>
    <w:rsid w:val="75F16979"/>
    <w:rsid w:val="75F55A29"/>
    <w:rsid w:val="75F74F8E"/>
    <w:rsid w:val="75F87CAF"/>
    <w:rsid w:val="75FA1A41"/>
    <w:rsid w:val="75FE5022"/>
    <w:rsid w:val="75FE7260"/>
    <w:rsid w:val="76015E3B"/>
    <w:rsid w:val="76025E74"/>
    <w:rsid w:val="76037E74"/>
    <w:rsid w:val="76044340"/>
    <w:rsid w:val="760613F3"/>
    <w:rsid w:val="7606248D"/>
    <w:rsid w:val="760943D0"/>
    <w:rsid w:val="760D791A"/>
    <w:rsid w:val="760E34F5"/>
    <w:rsid w:val="760E78A9"/>
    <w:rsid w:val="76107700"/>
    <w:rsid w:val="76110068"/>
    <w:rsid w:val="76140FBE"/>
    <w:rsid w:val="761427E2"/>
    <w:rsid w:val="76146A47"/>
    <w:rsid w:val="761538A5"/>
    <w:rsid w:val="76183859"/>
    <w:rsid w:val="761A7A61"/>
    <w:rsid w:val="761E4FCA"/>
    <w:rsid w:val="761F48F0"/>
    <w:rsid w:val="762407E1"/>
    <w:rsid w:val="76250014"/>
    <w:rsid w:val="76281BEF"/>
    <w:rsid w:val="76287A23"/>
    <w:rsid w:val="76287EBE"/>
    <w:rsid w:val="762D4128"/>
    <w:rsid w:val="762D6EAD"/>
    <w:rsid w:val="76303B29"/>
    <w:rsid w:val="76363825"/>
    <w:rsid w:val="76372E8C"/>
    <w:rsid w:val="76394856"/>
    <w:rsid w:val="763C41D2"/>
    <w:rsid w:val="763D5460"/>
    <w:rsid w:val="763E6804"/>
    <w:rsid w:val="763F3E18"/>
    <w:rsid w:val="764059E1"/>
    <w:rsid w:val="764B283E"/>
    <w:rsid w:val="764C06E5"/>
    <w:rsid w:val="764D24AB"/>
    <w:rsid w:val="764E79AC"/>
    <w:rsid w:val="76543744"/>
    <w:rsid w:val="76563316"/>
    <w:rsid w:val="765965B8"/>
    <w:rsid w:val="765A7F37"/>
    <w:rsid w:val="765D097C"/>
    <w:rsid w:val="765E2EC0"/>
    <w:rsid w:val="765F313A"/>
    <w:rsid w:val="76603A94"/>
    <w:rsid w:val="76614AB6"/>
    <w:rsid w:val="7662179F"/>
    <w:rsid w:val="76636D57"/>
    <w:rsid w:val="76673641"/>
    <w:rsid w:val="76697E57"/>
    <w:rsid w:val="766B759C"/>
    <w:rsid w:val="766D09E6"/>
    <w:rsid w:val="766D2B29"/>
    <w:rsid w:val="766E3B7B"/>
    <w:rsid w:val="76711FC6"/>
    <w:rsid w:val="7671544C"/>
    <w:rsid w:val="76725CA9"/>
    <w:rsid w:val="767264A1"/>
    <w:rsid w:val="76762164"/>
    <w:rsid w:val="767732FF"/>
    <w:rsid w:val="7679155C"/>
    <w:rsid w:val="767B0E6E"/>
    <w:rsid w:val="767C5583"/>
    <w:rsid w:val="767D053D"/>
    <w:rsid w:val="767D768F"/>
    <w:rsid w:val="767E09D4"/>
    <w:rsid w:val="767E170A"/>
    <w:rsid w:val="76802A88"/>
    <w:rsid w:val="7682165F"/>
    <w:rsid w:val="768349E6"/>
    <w:rsid w:val="768641FA"/>
    <w:rsid w:val="768B3AD4"/>
    <w:rsid w:val="768C306A"/>
    <w:rsid w:val="768C730B"/>
    <w:rsid w:val="768E5F1B"/>
    <w:rsid w:val="768F1112"/>
    <w:rsid w:val="76963A14"/>
    <w:rsid w:val="769D0680"/>
    <w:rsid w:val="76A807ED"/>
    <w:rsid w:val="76A85E5C"/>
    <w:rsid w:val="76AC0500"/>
    <w:rsid w:val="76AC07A7"/>
    <w:rsid w:val="76AC5E0B"/>
    <w:rsid w:val="76AF642C"/>
    <w:rsid w:val="76BA63E8"/>
    <w:rsid w:val="76BC102D"/>
    <w:rsid w:val="76BE16ED"/>
    <w:rsid w:val="76BE26CF"/>
    <w:rsid w:val="76BE7498"/>
    <w:rsid w:val="76BF7819"/>
    <w:rsid w:val="76C02D77"/>
    <w:rsid w:val="76C44672"/>
    <w:rsid w:val="76C778D8"/>
    <w:rsid w:val="76C91FD0"/>
    <w:rsid w:val="76CC69DF"/>
    <w:rsid w:val="76CD0811"/>
    <w:rsid w:val="76CE2AE8"/>
    <w:rsid w:val="76D02E97"/>
    <w:rsid w:val="76D65BAF"/>
    <w:rsid w:val="76D90D10"/>
    <w:rsid w:val="76DA040E"/>
    <w:rsid w:val="76DA2486"/>
    <w:rsid w:val="76DA5B46"/>
    <w:rsid w:val="76DD337E"/>
    <w:rsid w:val="76DF023D"/>
    <w:rsid w:val="76DF698F"/>
    <w:rsid w:val="76E015A9"/>
    <w:rsid w:val="76E1483B"/>
    <w:rsid w:val="76E5282D"/>
    <w:rsid w:val="76E5286B"/>
    <w:rsid w:val="76E611DC"/>
    <w:rsid w:val="76EA33CE"/>
    <w:rsid w:val="76EB5495"/>
    <w:rsid w:val="76ED32F6"/>
    <w:rsid w:val="76EF2449"/>
    <w:rsid w:val="76F2373B"/>
    <w:rsid w:val="76F23CCE"/>
    <w:rsid w:val="76F26155"/>
    <w:rsid w:val="76F405FA"/>
    <w:rsid w:val="76F7558D"/>
    <w:rsid w:val="76F8751D"/>
    <w:rsid w:val="76FB12A2"/>
    <w:rsid w:val="76FD206B"/>
    <w:rsid w:val="76FE1F35"/>
    <w:rsid w:val="76FE6BE0"/>
    <w:rsid w:val="76FF27C2"/>
    <w:rsid w:val="76FF6173"/>
    <w:rsid w:val="770248E7"/>
    <w:rsid w:val="77054131"/>
    <w:rsid w:val="77066E3C"/>
    <w:rsid w:val="770B15B2"/>
    <w:rsid w:val="770B3474"/>
    <w:rsid w:val="770F0697"/>
    <w:rsid w:val="770F4B3A"/>
    <w:rsid w:val="77164FD5"/>
    <w:rsid w:val="771F0D7A"/>
    <w:rsid w:val="771F27B0"/>
    <w:rsid w:val="7720313C"/>
    <w:rsid w:val="77205DA2"/>
    <w:rsid w:val="7722035D"/>
    <w:rsid w:val="77222F87"/>
    <w:rsid w:val="7723457D"/>
    <w:rsid w:val="77240AB0"/>
    <w:rsid w:val="77257250"/>
    <w:rsid w:val="77287937"/>
    <w:rsid w:val="77293EFD"/>
    <w:rsid w:val="77305039"/>
    <w:rsid w:val="77317F27"/>
    <w:rsid w:val="77325F40"/>
    <w:rsid w:val="773575F1"/>
    <w:rsid w:val="7736315D"/>
    <w:rsid w:val="7736668D"/>
    <w:rsid w:val="7738344F"/>
    <w:rsid w:val="77383609"/>
    <w:rsid w:val="773B0350"/>
    <w:rsid w:val="773B0F4E"/>
    <w:rsid w:val="773B5732"/>
    <w:rsid w:val="773F076D"/>
    <w:rsid w:val="77403FE0"/>
    <w:rsid w:val="77420DF8"/>
    <w:rsid w:val="77432CEB"/>
    <w:rsid w:val="77434E46"/>
    <w:rsid w:val="77444DFE"/>
    <w:rsid w:val="77484BA4"/>
    <w:rsid w:val="774950B0"/>
    <w:rsid w:val="774E2C07"/>
    <w:rsid w:val="774E5B02"/>
    <w:rsid w:val="7750150E"/>
    <w:rsid w:val="77505159"/>
    <w:rsid w:val="775113A0"/>
    <w:rsid w:val="7751374E"/>
    <w:rsid w:val="77531083"/>
    <w:rsid w:val="77584638"/>
    <w:rsid w:val="77594CC6"/>
    <w:rsid w:val="775C7A70"/>
    <w:rsid w:val="775E3FC5"/>
    <w:rsid w:val="77603EEC"/>
    <w:rsid w:val="776172A4"/>
    <w:rsid w:val="7762614B"/>
    <w:rsid w:val="77627922"/>
    <w:rsid w:val="77695E5A"/>
    <w:rsid w:val="776A29A7"/>
    <w:rsid w:val="776A5E7A"/>
    <w:rsid w:val="776A6D76"/>
    <w:rsid w:val="776B0882"/>
    <w:rsid w:val="776D1BFE"/>
    <w:rsid w:val="776E26B7"/>
    <w:rsid w:val="77701679"/>
    <w:rsid w:val="77710107"/>
    <w:rsid w:val="77727178"/>
    <w:rsid w:val="7773770F"/>
    <w:rsid w:val="777414D1"/>
    <w:rsid w:val="777468B9"/>
    <w:rsid w:val="777D63E6"/>
    <w:rsid w:val="777E4074"/>
    <w:rsid w:val="77834D01"/>
    <w:rsid w:val="778759B2"/>
    <w:rsid w:val="778A05EE"/>
    <w:rsid w:val="778A5951"/>
    <w:rsid w:val="778C0E62"/>
    <w:rsid w:val="778C5EA4"/>
    <w:rsid w:val="77931725"/>
    <w:rsid w:val="7794310D"/>
    <w:rsid w:val="77943EFB"/>
    <w:rsid w:val="77960A79"/>
    <w:rsid w:val="77962C0B"/>
    <w:rsid w:val="779A5BD7"/>
    <w:rsid w:val="779C76AA"/>
    <w:rsid w:val="779F4A32"/>
    <w:rsid w:val="77A403E9"/>
    <w:rsid w:val="77A70977"/>
    <w:rsid w:val="77A82DDF"/>
    <w:rsid w:val="77AB5150"/>
    <w:rsid w:val="77AC7D64"/>
    <w:rsid w:val="77AE2D70"/>
    <w:rsid w:val="77AF280E"/>
    <w:rsid w:val="77B012B1"/>
    <w:rsid w:val="77B0480F"/>
    <w:rsid w:val="77B07256"/>
    <w:rsid w:val="77B45FD1"/>
    <w:rsid w:val="77B5129B"/>
    <w:rsid w:val="77B51379"/>
    <w:rsid w:val="77B66BD5"/>
    <w:rsid w:val="77B71B66"/>
    <w:rsid w:val="77B91B0E"/>
    <w:rsid w:val="77BD0F9B"/>
    <w:rsid w:val="77BD3856"/>
    <w:rsid w:val="77C73969"/>
    <w:rsid w:val="77CE0514"/>
    <w:rsid w:val="77D429C7"/>
    <w:rsid w:val="77D71796"/>
    <w:rsid w:val="77DC5933"/>
    <w:rsid w:val="77DE3430"/>
    <w:rsid w:val="77DF56CD"/>
    <w:rsid w:val="77E37735"/>
    <w:rsid w:val="77E37DC1"/>
    <w:rsid w:val="77E51E13"/>
    <w:rsid w:val="77EB47A3"/>
    <w:rsid w:val="77EC73CB"/>
    <w:rsid w:val="77ED02A1"/>
    <w:rsid w:val="77EE3D96"/>
    <w:rsid w:val="77F34F6E"/>
    <w:rsid w:val="78010022"/>
    <w:rsid w:val="78044977"/>
    <w:rsid w:val="780507FE"/>
    <w:rsid w:val="78073E44"/>
    <w:rsid w:val="780808B9"/>
    <w:rsid w:val="78091B10"/>
    <w:rsid w:val="78094C0A"/>
    <w:rsid w:val="780F544D"/>
    <w:rsid w:val="781076BB"/>
    <w:rsid w:val="78142060"/>
    <w:rsid w:val="78183BCD"/>
    <w:rsid w:val="7819283C"/>
    <w:rsid w:val="781E71F7"/>
    <w:rsid w:val="78213E1A"/>
    <w:rsid w:val="78223A97"/>
    <w:rsid w:val="78236116"/>
    <w:rsid w:val="78244E3A"/>
    <w:rsid w:val="7827184A"/>
    <w:rsid w:val="78272802"/>
    <w:rsid w:val="782851A5"/>
    <w:rsid w:val="78285B6A"/>
    <w:rsid w:val="78296863"/>
    <w:rsid w:val="782C0F76"/>
    <w:rsid w:val="783441BB"/>
    <w:rsid w:val="78347451"/>
    <w:rsid w:val="78352789"/>
    <w:rsid w:val="78352DA5"/>
    <w:rsid w:val="783A57F9"/>
    <w:rsid w:val="783C3B73"/>
    <w:rsid w:val="783E2641"/>
    <w:rsid w:val="783F5A8F"/>
    <w:rsid w:val="784060A5"/>
    <w:rsid w:val="78434EA4"/>
    <w:rsid w:val="78455D7B"/>
    <w:rsid w:val="78463E92"/>
    <w:rsid w:val="784B35BF"/>
    <w:rsid w:val="78561DF0"/>
    <w:rsid w:val="785925E0"/>
    <w:rsid w:val="785A51D6"/>
    <w:rsid w:val="785E5051"/>
    <w:rsid w:val="785F05AA"/>
    <w:rsid w:val="78643889"/>
    <w:rsid w:val="78644F86"/>
    <w:rsid w:val="786559BD"/>
    <w:rsid w:val="786576BF"/>
    <w:rsid w:val="78673632"/>
    <w:rsid w:val="786914BF"/>
    <w:rsid w:val="786C341B"/>
    <w:rsid w:val="787062EB"/>
    <w:rsid w:val="787265B8"/>
    <w:rsid w:val="78733E44"/>
    <w:rsid w:val="787E32A7"/>
    <w:rsid w:val="787F540E"/>
    <w:rsid w:val="7885557D"/>
    <w:rsid w:val="78863D82"/>
    <w:rsid w:val="789273CB"/>
    <w:rsid w:val="78931F24"/>
    <w:rsid w:val="78975A8F"/>
    <w:rsid w:val="78983955"/>
    <w:rsid w:val="789A53D6"/>
    <w:rsid w:val="789B6AD2"/>
    <w:rsid w:val="789C778E"/>
    <w:rsid w:val="789F159F"/>
    <w:rsid w:val="789F7446"/>
    <w:rsid w:val="78A17A6C"/>
    <w:rsid w:val="78A5444B"/>
    <w:rsid w:val="78A67A5D"/>
    <w:rsid w:val="78A9305E"/>
    <w:rsid w:val="78B05721"/>
    <w:rsid w:val="78B41319"/>
    <w:rsid w:val="78B544D7"/>
    <w:rsid w:val="78B57BCD"/>
    <w:rsid w:val="78BA24A3"/>
    <w:rsid w:val="78C02C5F"/>
    <w:rsid w:val="78C150CE"/>
    <w:rsid w:val="78C23070"/>
    <w:rsid w:val="78C23F00"/>
    <w:rsid w:val="78C86954"/>
    <w:rsid w:val="78C96545"/>
    <w:rsid w:val="78CA20F8"/>
    <w:rsid w:val="78CA43AB"/>
    <w:rsid w:val="78D2466B"/>
    <w:rsid w:val="78D365F9"/>
    <w:rsid w:val="78D43E1D"/>
    <w:rsid w:val="78D45F3A"/>
    <w:rsid w:val="78D85957"/>
    <w:rsid w:val="78D87244"/>
    <w:rsid w:val="78D93D91"/>
    <w:rsid w:val="78DC5A6B"/>
    <w:rsid w:val="78E5088A"/>
    <w:rsid w:val="78E55E2F"/>
    <w:rsid w:val="78EB2485"/>
    <w:rsid w:val="78EB4255"/>
    <w:rsid w:val="78ED06F8"/>
    <w:rsid w:val="78EF47E1"/>
    <w:rsid w:val="78F41E66"/>
    <w:rsid w:val="78F965CD"/>
    <w:rsid w:val="78FA042B"/>
    <w:rsid w:val="78FE69FF"/>
    <w:rsid w:val="78FF6306"/>
    <w:rsid w:val="790065D2"/>
    <w:rsid w:val="790145A5"/>
    <w:rsid w:val="790175B9"/>
    <w:rsid w:val="79021102"/>
    <w:rsid w:val="790758CD"/>
    <w:rsid w:val="790A2253"/>
    <w:rsid w:val="790A6445"/>
    <w:rsid w:val="790D5797"/>
    <w:rsid w:val="790E596C"/>
    <w:rsid w:val="791248BB"/>
    <w:rsid w:val="79142641"/>
    <w:rsid w:val="79162866"/>
    <w:rsid w:val="79196363"/>
    <w:rsid w:val="79197033"/>
    <w:rsid w:val="791B574D"/>
    <w:rsid w:val="791D20D0"/>
    <w:rsid w:val="791E56A8"/>
    <w:rsid w:val="79241D67"/>
    <w:rsid w:val="7924320C"/>
    <w:rsid w:val="79256E58"/>
    <w:rsid w:val="7926254F"/>
    <w:rsid w:val="79291898"/>
    <w:rsid w:val="792C747B"/>
    <w:rsid w:val="792D1D20"/>
    <w:rsid w:val="79341177"/>
    <w:rsid w:val="793422B7"/>
    <w:rsid w:val="793459F1"/>
    <w:rsid w:val="79396CB7"/>
    <w:rsid w:val="793A159A"/>
    <w:rsid w:val="793E7D88"/>
    <w:rsid w:val="793F7EFF"/>
    <w:rsid w:val="79404D57"/>
    <w:rsid w:val="79427160"/>
    <w:rsid w:val="79456EFB"/>
    <w:rsid w:val="7945748D"/>
    <w:rsid w:val="794A0D73"/>
    <w:rsid w:val="794C5C63"/>
    <w:rsid w:val="794E33E0"/>
    <w:rsid w:val="794F0C76"/>
    <w:rsid w:val="794F2BF6"/>
    <w:rsid w:val="795373EF"/>
    <w:rsid w:val="79563A21"/>
    <w:rsid w:val="795A2877"/>
    <w:rsid w:val="795B2958"/>
    <w:rsid w:val="795D5309"/>
    <w:rsid w:val="79604809"/>
    <w:rsid w:val="79637AB7"/>
    <w:rsid w:val="7965250B"/>
    <w:rsid w:val="7966699D"/>
    <w:rsid w:val="796B502B"/>
    <w:rsid w:val="796B78E5"/>
    <w:rsid w:val="796D447F"/>
    <w:rsid w:val="79713A14"/>
    <w:rsid w:val="79745D0E"/>
    <w:rsid w:val="79776851"/>
    <w:rsid w:val="798079ED"/>
    <w:rsid w:val="79810870"/>
    <w:rsid w:val="79826B56"/>
    <w:rsid w:val="79833EB7"/>
    <w:rsid w:val="79853016"/>
    <w:rsid w:val="79876DD3"/>
    <w:rsid w:val="798868DD"/>
    <w:rsid w:val="798A5EA8"/>
    <w:rsid w:val="798C1726"/>
    <w:rsid w:val="799142A9"/>
    <w:rsid w:val="7992222D"/>
    <w:rsid w:val="799252D7"/>
    <w:rsid w:val="799501DE"/>
    <w:rsid w:val="79962FE8"/>
    <w:rsid w:val="79964900"/>
    <w:rsid w:val="799767A7"/>
    <w:rsid w:val="79985569"/>
    <w:rsid w:val="799C317A"/>
    <w:rsid w:val="799C4305"/>
    <w:rsid w:val="799D05ED"/>
    <w:rsid w:val="799D1FAA"/>
    <w:rsid w:val="799E367C"/>
    <w:rsid w:val="799F14C6"/>
    <w:rsid w:val="79A46C4D"/>
    <w:rsid w:val="79A5583D"/>
    <w:rsid w:val="79AA2018"/>
    <w:rsid w:val="79AD20A0"/>
    <w:rsid w:val="79AD4AF4"/>
    <w:rsid w:val="79AE4207"/>
    <w:rsid w:val="79B0744D"/>
    <w:rsid w:val="79B16675"/>
    <w:rsid w:val="79B6771E"/>
    <w:rsid w:val="79B81C26"/>
    <w:rsid w:val="79BC4B4E"/>
    <w:rsid w:val="79BD5B06"/>
    <w:rsid w:val="79C13D94"/>
    <w:rsid w:val="79C21829"/>
    <w:rsid w:val="79C273A1"/>
    <w:rsid w:val="79C34E34"/>
    <w:rsid w:val="79C66FE5"/>
    <w:rsid w:val="79C75263"/>
    <w:rsid w:val="79C756C9"/>
    <w:rsid w:val="79C77546"/>
    <w:rsid w:val="79C911EA"/>
    <w:rsid w:val="79D652F8"/>
    <w:rsid w:val="79DD7E25"/>
    <w:rsid w:val="79E176A2"/>
    <w:rsid w:val="79E402AC"/>
    <w:rsid w:val="79E509DF"/>
    <w:rsid w:val="79E877E4"/>
    <w:rsid w:val="79EA2045"/>
    <w:rsid w:val="79EA52CA"/>
    <w:rsid w:val="79EB0738"/>
    <w:rsid w:val="79EC361C"/>
    <w:rsid w:val="79EE6700"/>
    <w:rsid w:val="79EF4831"/>
    <w:rsid w:val="79EF4E36"/>
    <w:rsid w:val="79F316A7"/>
    <w:rsid w:val="79F74EDB"/>
    <w:rsid w:val="79F93DCF"/>
    <w:rsid w:val="79FD4305"/>
    <w:rsid w:val="79FF7A7A"/>
    <w:rsid w:val="7A005EDA"/>
    <w:rsid w:val="7A025C3C"/>
    <w:rsid w:val="7A0472A2"/>
    <w:rsid w:val="7A0523F9"/>
    <w:rsid w:val="7A053914"/>
    <w:rsid w:val="7A0C27E2"/>
    <w:rsid w:val="7A0C4F56"/>
    <w:rsid w:val="7A0E1823"/>
    <w:rsid w:val="7A101AE9"/>
    <w:rsid w:val="7A107210"/>
    <w:rsid w:val="7A157891"/>
    <w:rsid w:val="7A197702"/>
    <w:rsid w:val="7A1B26F3"/>
    <w:rsid w:val="7A21274C"/>
    <w:rsid w:val="7A2144FC"/>
    <w:rsid w:val="7A23477C"/>
    <w:rsid w:val="7A251A89"/>
    <w:rsid w:val="7A292CF0"/>
    <w:rsid w:val="7A2C63DE"/>
    <w:rsid w:val="7A2D54C3"/>
    <w:rsid w:val="7A2F0595"/>
    <w:rsid w:val="7A313E6E"/>
    <w:rsid w:val="7A3370EA"/>
    <w:rsid w:val="7A377AAE"/>
    <w:rsid w:val="7A3903BD"/>
    <w:rsid w:val="7A3B0CEF"/>
    <w:rsid w:val="7A4341E0"/>
    <w:rsid w:val="7A4349A0"/>
    <w:rsid w:val="7A4646A7"/>
    <w:rsid w:val="7A473865"/>
    <w:rsid w:val="7A476512"/>
    <w:rsid w:val="7A4866F3"/>
    <w:rsid w:val="7A492FF9"/>
    <w:rsid w:val="7A4A591E"/>
    <w:rsid w:val="7A4B4865"/>
    <w:rsid w:val="7A4C54CA"/>
    <w:rsid w:val="7A4F165B"/>
    <w:rsid w:val="7A530348"/>
    <w:rsid w:val="7A541A6E"/>
    <w:rsid w:val="7A5749E9"/>
    <w:rsid w:val="7A5771CD"/>
    <w:rsid w:val="7A5B08EF"/>
    <w:rsid w:val="7A5E3225"/>
    <w:rsid w:val="7A60459C"/>
    <w:rsid w:val="7A6407E7"/>
    <w:rsid w:val="7A6A0F96"/>
    <w:rsid w:val="7A6D66A4"/>
    <w:rsid w:val="7A7014A0"/>
    <w:rsid w:val="7A7040CE"/>
    <w:rsid w:val="7A741196"/>
    <w:rsid w:val="7A7610CD"/>
    <w:rsid w:val="7A76705E"/>
    <w:rsid w:val="7A862E0B"/>
    <w:rsid w:val="7A864FD1"/>
    <w:rsid w:val="7A8855A7"/>
    <w:rsid w:val="7A89189F"/>
    <w:rsid w:val="7A891F52"/>
    <w:rsid w:val="7A892B36"/>
    <w:rsid w:val="7A8A650F"/>
    <w:rsid w:val="7A8C1714"/>
    <w:rsid w:val="7A8D2441"/>
    <w:rsid w:val="7A8D5462"/>
    <w:rsid w:val="7A9464C6"/>
    <w:rsid w:val="7A95720B"/>
    <w:rsid w:val="7A9649CB"/>
    <w:rsid w:val="7A987E01"/>
    <w:rsid w:val="7A9A6655"/>
    <w:rsid w:val="7A9B261E"/>
    <w:rsid w:val="7A9F0C8D"/>
    <w:rsid w:val="7AA0016E"/>
    <w:rsid w:val="7AA108AF"/>
    <w:rsid w:val="7AA20D20"/>
    <w:rsid w:val="7AA35AE7"/>
    <w:rsid w:val="7AA41AFA"/>
    <w:rsid w:val="7AA514F2"/>
    <w:rsid w:val="7AA80C68"/>
    <w:rsid w:val="7AAA4036"/>
    <w:rsid w:val="7AAC013E"/>
    <w:rsid w:val="7AAC53BE"/>
    <w:rsid w:val="7AAE0478"/>
    <w:rsid w:val="7AB25ED6"/>
    <w:rsid w:val="7AB75BAE"/>
    <w:rsid w:val="7AB806AD"/>
    <w:rsid w:val="7ABA56B9"/>
    <w:rsid w:val="7ABF172D"/>
    <w:rsid w:val="7AC11E7A"/>
    <w:rsid w:val="7AC505F9"/>
    <w:rsid w:val="7AC6451A"/>
    <w:rsid w:val="7AC67D95"/>
    <w:rsid w:val="7AC73B8E"/>
    <w:rsid w:val="7AC7522F"/>
    <w:rsid w:val="7AC7684F"/>
    <w:rsid w:val="7AC969BB"/>
    <w:rsid w:val="7ACB6DDE"/>
    <w:rsid w:val="7ACC482B"/>
    <w:rsid w:val="7ACE406F"/>
    <w:rsid w:val="7ACF0266"/>
    <w:rsid w:val="7AD021D7"/>
    <w:rsid w:val="7AD17B36"/>
    <w:rsid w:val="7AD30639"/>
    <w:rsid w:val="7ADC42C4"/>
    <w:rsid w:val="7AE0195C"/>
    <w:rsid w:val="7AE563B8"/>
    <w:rsid w:val="7AE87D72"/>
    <w:rsid w:val="7AE928E9"/>
    <w:rsid w:val="7AEA58E0"/>
    <w:rsid w:val="7AEB4528"/>
    <w:rsid w:val="7AEC547E"/>
    <w:rsid w:val="7AF0102F"/>
    <w:rsid w:val="7AF25248"/>
    <w:rsid w:val="7AF3231D"/>
    <w:rsid w:val="7AFB44F9"/>
    <w:rsid w:val="7AFD03BE"/>
    <w:rsid w:val="7B0309D3"/>
    <w:rsid w:val="7B0348B7"/>
    <w:rsid w:val="7B046EA5"/>
    <w:rsid w:val="7B056A20"/>
    <w:rsid w:val="7B076DBD"/>
    <w:rsid w:val="7B0D5B9A"/>
    <w:rsid w:val="7B0E7DF3"/>
    <w:rsid w:val="7B0F48B5"/>
    <w:rsid w:val="7B106212"/>
    <w:rsid w:val="7B15143A"/>
    <w:rsid w:val="7B161ED6"/>
    <w:rsid w:val="7B1622E3"/>
    <w:rsid w:val="7B1640B4"/>
    <w:rsid w:val="7B17194E"/>
    <w:rsid w:val="7B185370"/>
    <w:rsid w:val="7B1874EC"/>
    <w:rsid w:val="7B1B501D"/>
    <w:rsid w:val="7B1C4993"/>
    <w:rsid w:val="7B1E51E4"/>
    <w:rsid w:val="7B1F1D55"/>
    <w:rsid w:val="7B251C6B"/>
    <w:rsid w:val="7B262283"/>
    <w:rsid w:val="7B262902"/>
    <w:rsid w:val="7B271E27"/>
    <w:rsid w:val="7B274F4D"/>
    <w:rsid w:val="7B275A6B"/>
    <w:rsid w:val="7B287883"/>
    <w:rsid w:val="7B29212D"/>
    <w:rsid w:val="7B2C07C6"/>
    <w:rsid w:val="7B2E6771"/>
    <w:rsid w:val="7B307F51"/>
    <w:rsid w:val="7B321AAB"/>
    <w:rsid w:val="7B33070D"/>
    <w:rsid w:val="7B33263C"/>
    <w:rsid w:val="7B3376F9"/>
    <w:rsid w:val="7B347816"/>
    <w:rsid w:val="7B3A1D59"/>
    <w:rsid w:val="7B3B563D"/>
    <w:rsid w:val="7B3D3344"/>
    <w:rsid w:val="7B3E00D6"/>
    <w:rsid w:val="7B3F7D30"/>
    <w:rsid w:val="7B404482"/>
    <w:rsid w:val="7B45064D"/>
    <w:rsid w:val="7B452CAA"/>
    <w:rsid w:val="7B4672AE"/>
    <w:rsid w:val="7B483C32"/>
    <w:rsid w:val="7B4B1F49"/>
    <w:rsid w:val="7B4C6253"/>
    <w:rsid w:val="7B4C763D"/>
    <w:rsid w:val="7B4E147D"/>
    <w:rsid w:val="7B503879"/>
    <w:rsid w:val="7B52168D"/>
    <w:rsid w:val="7B527B01"/>
    <w:rsid w:val="7B5330A2"/>
    <w:rsid w:val="7B53316A"/>
    <w:rsid w:val="7B59169D"/>
    <w:rsid w:val="7B5B5B1B"/>
    <w:rsid w:val="7B5F7156"/>
    <w:rsid w:val="7B601F6F"/>
    <w:rsid w:val="7B605B74"/>
    <w:rsid w:val="7B607AA3"/>
    <w:rsid w:val="7B615962"/>
    <w:rsid w:val="7B63204E"/>
    <w:rsid w:val="7B652212"/>
    <w:rsid w:val="7B65651B"/>
    <w:rsid w:val="7B6A25C5"/>
    <w:rsid w:val="7B6C3753"/>
    <w:rsid w:val="7B6D2119"/>
    <w:rsid w:val="7B6E75AA"/>
    <w:rsid w:val="7B6E7718"/>
    <w:rsid w:val="7B6F077C"/>
    <w:rsid w:val="7B707090"/>
    <w:rsid w:val="7B714337"/>
    <w:rsid w:val="7B7343AD"/>
    <w:rsid w:val="7B754BB5"/>
    <w:rsid w:val="7B7C2E28"/>
    <w:rsid w:val="7B807F7C"/>
    <w:rsid w:val="7B855E7D"/>
    <w:rsid w:val="7B8725D5"/>
    <w:rsid w:val="7B8D369C"/>
    <w:rsid w:val="7B912445"/>
    <w:rsid w:val="7B916612"/>
    <w:rsid w:val="7B946C0F"/>
    <w:rsid w:val="7B9576D8"/>
    <w:rsid w:val="7B99531D"/>
    <w:rsid w:val="7B9A289F"/>
    <w:rsid w:val="7B9A617A"/>
    <w:rsid w:val="7BAA4E29"/>
    <w:rsid w:val="7BAB1922"/>
    <w:rsid w:val="7BAC7349"/>
    <w:rsid w:val="7BAD1A3C"/>
    <w:rsid w:val="7BAE5EE5"/>
    <w:rsid w:val="7BAE7B14"/>
    <w:rsid w:val="7BB14394"/>
    <w:rsid w:val="7BB43415"/>
    <w:rsid w:val="7BB572C3"/>
    <w:rsid w:val="7BB96061"/>
    <w:rsid w:val="7BBA3E30"/>
    <w:rsid w:val="7BBC565F"/>
    <w:rsid w:val="7BBC70BE"/>
    <w:rsid w:val="7BBD5C44"/>
    <w:rsid w:val="7BC01EF5"/>
    <w:rsid w:val="7BC577EA"/>
    <w:rsid w:val="7BCE2A79"/>
    <w:rsid w:val="7BCE5F77"/>
    <w:rsid w:val="7BD25B09"/>
    <w:rsid w:val="7BD50B69"/>
    <w:rsid w:val="7BD51800"/>
    <w:rsid w:val="7BD90740"/>
    <w:rsid w:val="7BDA68A6"/>
    <w:rsid w:val="7BDC50AF"/>
    <w:rsid w:val="7BDE770B"/>
    <w:rsid w:val="7BE01992"/>
    <w:rsid w:val="7BE07AE9"/>
    <w:rsid w:val="7BE17CA8"/>
    <w:rsid w:val="7BE23947"/>
    <w:rsid w:val="7BE24010"/>
    <w:rsid w:val="7BE608DD"/>
    <w:rsid w:val="7BE66CB8"/>
    <w:rsid w:val="7BE70FEC"/>
    <w:rsid w:val="7BE77D7B"/>
    <w:rsid w:val="7BE854D3"/>
    <w:rsid w:val="7BE978E8"/>
    <w:rsid w:val="7BEC407D"/>
    <w:rsid w:val="7BEF0194"/>
    <w:rsid w:val="7BEF2360"/>
    <w:rsid w:val="7BEF257D"/>
    <w:rsid w:val="7BF75078"/>
    <w:rsid w:val="7BF8119C"/>
    <w:rsid w:val="7BF813DB"/>
    <w:rsid w:val="7BF91E7C"/>
    <w:rsid w:val="7C007818"/>
    <w:rsid w:val="7C04569E"/>
    <w:rsid w:val="7C061F24"/>
    <w:rsid w:val="7C0C2EB8"/>
    <w:rsid w:val="7C0D49FA"/>
    <w:rsid w:val="7C0F5C1B"/>
    <w:rsid w:val="7C1261CA"/>
    <w:rsid w:val="7C1476F6"/>
    <w:rsid w:val="7C1516E0"/>
    <w:rsid w:val="7C173DDB"/>
    <w:rsid w:val="7C1A274F"/>
    <w:rsid w:val="7C1D0772"/>
    <w:rsid w:val="7C1F7529"/>
    <w:rsid w:val="7C212FA0"/>
    <w:rsid w:val="7C23261D"/>
    <w:rsid w:val="7C233248"/>
    <w:rsid w:val="7C27511A"/>
    <w:rsid w:val="7C2E17E7"/>
    <w:rsid w:val="7C310CB8"/>
    <w:rsid w:val="7C32003B"/>
    <w:rsid w:val="7C324545"/>
    <w:rsid w:val="7C32759E"/>
    <w:rsid w:val="7C3424B3"/>
    <w:rsid w:val="7C356555"/>
    <w:rsid w:val="7C371EE3"/>
    <w:rsid w:val="7C3D0FC8"/>
    <w:rsid w:val="7C405C33"/>
    <w:rsid w:val="7C43095C"/>
    <w:rsid w:val="7C436E78"/>
    <w:rsid w:val="7C440546"/>
    <w:rsid w:val="7C442786"/>
    <w:rsid w:val="7C4523AC"/>
    <w:rsid w:val="7C4708F7"/>
    <w:rsid w:val="7C484BC3"/>
    <w:rsid w:val="7C4C51B6"/>
    <w:rsid w:val="7C511BB5"/>
    <w:rsid w:val="7C595845"/>
    <w:rsid w:val="7C5E701C"/>
    <w:rsid w:val="7C603F0C"/>
    <w:rsid w:val="7C626691"/>
    <w:rsid w:val="7C64781B"/>
    <w:rsid w:val="7C6538B1"/>
    <w:rsid w:val="7C676F2C"/>
    <w:rsid w:val="7C68380F"/>
    <w:rsid w:val="7C6940AB"/>
    <w:rsid w:val="7C6C2871"/>
    <w:rsid w:val="7C6E1E3B"/>
    <w:rsid w:val="7C6F5A53"/>
    <w:rsid w:val="7C7027B4"/>
    <w:rsid w:val="7C745EB7"/>
    <w:rsid w:val="7C761A47"/>
    <w:rsid w:val="7C7908D8"/>
    <w:rsid w:val="7C7A2001"/>
    <w:rsid w:val="7C7C0B6B"/>
    <w:rsid w:val="7C7D4CD2"/>
    <w:rsid w:val="7C801310"/>
    <w:rsid w:val="7C836997"/>
    <w:rsid w:val="7C8500AD"/>
    <w:rsid w:val="7C8B2207"/>
    <w:rsid w:val="7C8B6657"/>
    <w:rsid w:val="7C8D2E0D"/>
    <w:rsid w:val="7C91098C"/>
    <w:rsid w:val="7C930DE6"/>
    <w:rsid w:val="7C960EDD"/>
    <w:rsid w:val="7C9801E7"/>
    <w:rsid w:val="7C980F11"/>
    <w:rsid w:val="7C9A4309"/>
    <w:rsid w:val="7C9B71A3"/>
    <w:rsid w:val="7C9C7965"/>
    <w:rsid w:val="7C9D2100"/>
    <w:rsid w:val="7C9D5565"/>
    <w:rsid w:val="7C9E03AC"/>
    <w:rsid w:val="7C9E1926"/>
    <w:rsid w:val="7C9E1A46"/>
    <w:rsid w:val="7CA15F79"/>
    <w:rsid w:val="7CA16853"/>
    <w:rsid w:val="7CA35707"/>
    <w:rsid w:val="7CA75DD3"/>
    <w:rsid w:val="7CA7769B"/>
    <w:rsid w:val="7CA81FA0"/>
    <w:rsid w:val="7CA94D06"/>
    <w:rsid w:val="7CAA3D96"/>
    <w:rsid w:val="7CAC1DC0"/>
    <w:rsid w:val="7CAD1AC6"/>
    <w:rsid w:val="7CAD20A2"/>
    <w:rsid w:val="7CAD2615"/>
    <w:rsid w:val="7CAF213C"/>
    <w:rsid w:val="7CAF7FE2"/>
    <w:rsid w:val="7CB15CE1"/>
    <w:rsid w:val="7CB723F3"/>
    <w:rsid w:val="7CBD7276"/>
    <w:rsid w:val="7CC34F76"/>
    <w:rsid w:val="7CC40ADD"/>
    <w:rsid w:val="7CC42506"/>
    <w:rsid w:val="7CC67715"/>
    <w:rsid w:val="7CC774FC"/>
    <w:rsid w:val="7CC95DB4"/>
    <w:rsid w:val="7CCA4C97"/>
    <w:rsid w:val="7CCC0412"/>
    <w:rsid w:val="7CCD48F7"/>
    <w:rsid w:val="7CCD7396"/>
    <w:rsid w:val="7CD00ADC"/>
    <w:rsid w:val="7CD06F29"/>
    <w:rsid w:val="7CD07796"/>
    <w:rsid w:val="7CD121C8"/>
    <w:rsid w:val="7CDC073B"/>
    <w:rsid w:val="7CDC1834"/>
    <w:rsid w:val="7CDE293D"/>
    <w:rsid w:val="7CE267B2"/>
    <w:rsid w:val="7CE32B81"/>
    <w:rsid w:val="7CE40D57"/>
    <w:rsid w:val="7CE727EB"/>
    <w:rsid w:val="7CE9182C"/>
    <w:rsid w:val="7CE9264D"/>
    <w:rsid w:val="7CEC3A73"/>
    <w:rsid w:val="7CEF2853"/>
    <w:rsid w:val="7CF140AA"/>
    <w:rsid w:val="7CF27FF7"/>
    <w:rsid w:val="7CF3749D"/>
    <w:rsid w:val="7CF468FB"/>
    <w:rsid w:val="7CF957A0"/>
    <w:rsid w:val="7CFC1D23"/>
    <w:rsid w:val="7D0060C0"/>
    <w:rsid w:val="7D0061F9"/>
    <w:rsid w:val="7D01232A"/>
    <w:rsid w:val="7D03473D"/>
    <w:rsid w:val="7D0467AE"/>
    <w:rsid w:val="7D074547"/>
    <w:rsid w:val="7D0A2A0E"/>
    <w:rsid w:val="7D0A6BC8"/>
    <w:rsid w:val="7D0E267E"/>
    <w:rsid w:val="7D104B7C"/>
    <w:rsid w:val="7D12093F"/>
    <w:rsid w:val="7D122CE3"/>
    <w:rsid w:val="7D150887"/>
    <w:rsid w:val="7D1C5B91"/>
    <w:rsid w:val="7D1D13B5"/>
    <w:rsid w:val="7D1F4865"/>
    <w:rsid w:val="7D2044BC"/>
    <w:rsid w:val="7D21251A"/>
    <w:rsid w:val="7D222886"/>
    <w:rsid w:val="7D22554B"/>
    <w:rsid w:val="7D231EAD"/>
    <w:rsid w:val="7D235FC3"/>
    <w:rsid w:val="7D241B25"/>
    <w:rsid w:val="7D262AD7"/>
    <w:rsid w:val="7D276348"/>
    <w:rsid w:val="7D282A36"/>
    <w:rsid w:val="7D283E41"/>
    <w:rsid w:val="7D3159D8"/>
    <w:rsid w:val="7D3178DA"/>
    <w:rsid w:val="7D3577BA"/>
    <w:rsid w:val="7D374ADB"/>
    <w:rsid w:val="7D3811BB"/>
    <w:rsid w:val="7D390437"/>
    <w:rsid w:val="7D3D709D"/>
    <w:rsid w:val="7D3E0B5A"/>
    <w:rsid w:val="7D414CD0"/>
    <w:rsid w:val="7D442B75"/>
    <w:rsid w:val="7D445C26"/>
    <w:rsid w:val="7D474976"/>
    <w:rsid w:val="7D4910A8"/>
    <w:rsid w:val="7D4B4089"/>
    <w:rsid w:val="7D4F2A60"/>
    <w:rsid w:val="7D4F6F7A"/>
    <w:rsid w:val="7D5030D3"/>
    <w:rsid w:val="7D521855"/>
    <w:rsid w:val="7D5315D5"/>
    <w:rsid w:val="7D531907"/>
    <w:rsid w:val="7D5342FF"/>
    <w:rsid w:val="7D5619FD"/>
    <w:rsid w:val="7D5B6088"/>
    <w:rsid w:val="7D5D05B9"/>
    <w:rsid w:val="7D5D415E"/>
    <w:rsid w:val="7D6101BC"/>
    <w:rsid w:val="7D6517CA"/>
    <w:rsid w:val="7D665379"/>
    <w:rsid w:val="7D667550"/>
    <w:rsid w:val="7D681954"/>
    <w:rsid w:val="7D684740"/>
    <w:rsid w:val="7D6A698F"/>
    <w:rsid w:val="7D6B2753"/>
    <w:rsid w:val="7D6B2C80"/>
    <w:rsid w:val="7D6B5B32"/>
    <w:rsid w:val="7D6C1729"/>
    <w:rsid w:val="7D6C7D7A"/>
    <w:rsid w:val="7D6E2615"/>
    <w:rsid w:val="7D6F07FC"/>
    <w:rsid w:val="7D700D5E"/>
    <w:rsid w:val="7D727847"/>
    <w:rsid w:val="7D732A66"/>
    <w:rsid w:val="7D75405D"/>
    <w:rsid w:val="7D75460F"/>
    <w:rsid w:val="7D781F67"/>
    <w:rsid w:val="7D794F2D"/>
    <w:rsid w:val="7D7B6C11"/>
    <w:rsid w:val="7D7C444D"/>
    <w:rsid w:val="7D7E2CAD"/>
    <w:rsid w:val="7D7F0CC4"/>
    <w:rsid w:val="7D807196"/>
    <w:rsid w:val="7D8248AF"/>
    <w:rsid w:val="7D862FC3"/>
    <w:rsid w:val="7D8A709E"/>
    <w:rsid w:val="7D8E33AE"/>
    <w:rsid w:val="7D9224C8"/>
    <w:rsid w:val="7D996782"/>
    <w:rsid w:val="7D9B03C3"/>
    <w:rsid w:val="7D9B784A"/>
    <w:rsid w:val="7D9C39A5"/>
    <w:rsid w:val="7D9F565E"/>
    <w:rsid w:val="7DA179A3"/>
    <w:rsid w:val="7DA36FC5"/>
    <w:rsid w:val="7DA610B7"/>
    <w:rsid w:val="7DA91B8E"/>
    <w:rsid w:val="7DAC0B0B"/>
    <w:rsid w:val="7DAC2D6A"/>
    <w:rsid w:val="7DB35BFC"/>
    <w:rsid w:val="7DB374D5"/>
    <w:rsid w:val="7DB43A8E"/>
    <w:rsid w:val="7DB723C8"/>
    <w:rsid w:val="7DBA2E03"/>
    <w:rsid w:val="7DBE31E9"/>
    <w:rsid w:val="7DC06857"/>
    <w:rsid w:val="7DC74753"/>
    <w:rsid w:val="7DC85F84"/>
    <w:rsid w:val="7DCC2814"/>
    <w:rsid w:val="7DCC6E01"/>
    <w:rsid w:val="7DCD69DC"/>
    <w:rsid w:val="7DCD7115"/>
    <w:rsid w:val="7DD24103"/>
    <w:rsid w:val="7DD4058C"/>
    <w:rsid w:val="7DD67FB8"/>
    <w:rsid w:val="7DDA1945"/>
    <w:rsid w:val="7DDB5683"/>
    <w:rsid w:val="7DDC4D5B"/>
    <w:rsid w:val="7DDD0245"/>
    <w:rsid w:val="7DDE2794"/>
    <w:rsid w:val="7DE02125"/>
    <w:rsid w:val="7DE33A1A"/>
    <w:rsid w:val="7DE552EF"/>
    <w:rsid w:val="7DE75F3D"/>
    <w:rsid w:val="7DE92D05"/>
    <w:rsid w:val="7DEC0951"/>
    <w:rsid w:val="7DEC5DC9"/>
    <w:rsid w:val="7DEF66E0"/>
    <w:rsid w:val="7DF06FFF"/>
    <w:rsid w:val="7DF65BCF"/>
    <w:rsid w:val="7DF67BE9"/>
    <w:rsid w:val="7DF91D53"/>
    <w:rsid w:val="7DFC66F8"/>
    <w:rsid w:val="7DFD0D66"/>
    <w:rsid w:val="7DFE1244"/>
    <w:rsid w:val="7E007CF4"/>
    <w:rsid w:val="7E007D9F"/>
    <w:rsid w:val="7E014DAC"/>
    <w:rsid w:val="7E015372"/>
    <w:rsid w:val="7E0224DA"/>
    <w:rsid w:val="7E0C7F01"/>
    <w:rsid w:val="7E0D1D81"/>
    <w:rsid w:val="7E105BF3"/>
    <w:rsid w:val="7E12266E"/>
    <w:rsid w:val="7E1321E2"/>
    <w:rsid w:val="7E134F6B"/>
    <w:rsid w:val="7E142111"/>
    <w:rsid w:val="7E143AC2"/>
    <w:rsid w:val="7E143C21"/>
    <w:rsid w:val="7E150CCA"/>
    <w:rsid w:val="7E157915"/>
    <w:rsid w:val="7E162B79"/>
    <w:rsid w:val="7E1B1478"/>
    <w:rsid w:val="7E1B6AA3"/>
    <w:rsid w:val="7E25045A"/>
    <w:rsid w:val="7E2672C4"/>
    <w:rsid w:val="7E297983"/>
    <w:rsid w:val="7E2B0F63"/>
    <w:rsid w:val="7E2C4B7A"/>
    <w:rsid w:val="7E2D2B52"/>
    <w:rsid w:val="7E324B95"/>
    <w:rsid w:val="7E355CFD"/>
    <w:rsid w:val="7E364067"/>
    <w:rsid w:val="7E390454"/>
    <w:rsid w:val="7E423044"/>
    <w:rsid w:val="7E442834"/>
    <w:rsid w:val="7E446B6B"/>
    <w:rsid w:val="7E46391E"/>
    <w:rsid w:val="7E475DD1"/>
    <w:rsid w:val="7E481CC7"/>
    <w:rsid w:val="7E4874C8"/>
    <w:rsid w:val="7E4B0B01"/>
    <w:rsid w:val="7E4B4687"/>
    <w:rsid w:val="7E4D0226"/>
    <w:rsid w:val="7E501F45"/>
    <w:rsid w:val="7E5137F9"/>
    <w:rsid w:val="7E523FFB"/>
    <w:rsid w:val="7E5653B7"/>
    <w:rsid w:val="7E5B321D"/>
    <w:rsid w:val="7E5D3981"/>
    <w:rsid w:val="7E5E4729"/>
    <w:rsid w:val="7E5E5105"/>
    <w:rsid w:val="7E6572DA"/>
    <w:rsid w:val="7E6709F7"/>
    <w:rsid w:val="7E680E8F"/>
    <w:rsid w:val="7E6B1E8D"/>
    <w:rsid w:val="7E6E343A"/>
    <w:rsid w:val="7E6F437B"/>
    <w:rsid w:val="7E710F89"/>
    <w:rsid w:val="7E7128D1"/>
    <w:rsid w:val="7E733067"/>
    <w:rsid w:val="7E780F6E"/>
    <w:rsid w:val="7E7B69DE"/>
    <w:rsid w:val="7E7D3267"/>
    <w:rsid w:val="7E7E2509"/>
    <w:rsid w:val="7E7F3585"/>
    <w:rsid w:val="7E816489"/>
    <w:rsid w:val="7E863E49"/>
    <w:rsid w:val="7E872E98"/>
    <w:rsid w:val="7E894797"/>
    <w:rsid w:val="7E8F3EC1"/>
    <w:rsid w:val="7E920771"/>
    <w:rsid w:val="7E9223F6"/>
    <w:rsid w:val="7E936FAB"/>
    <w:rsid w:val="7E940B30"/>
    <w:rsid w:val="7E94300C"/>
    <w:rsid w:val="7E97151A"/>
    <w:rsid w:val="7E985FF1"/>
    <w:rsid w:val="7E9870C2"/>
    <w:rsid w:val="7E9A01CB"/>
    <w:rsid w:val="7E9A09AD"/>
    <w:rsid w:val="7E9A6081"/>
    <w:rsid w:val="7E9C3F26"/>
    <w:rsid w:val="7E9E47AE"/>
    <w:rsid w:val="7EA14C08"/>
    <w:rsid w:val="7EA14C1F"/>
    <w:rsid w:val="7EA77553"/>
    <w:rsid w:val="7EAC32E5"/>
    <w:rsid w:val="7EAE26C3"/>
    <w:rsid w:val="7EB663AC"/>
    <w:rsid w:val="7EB904A2"/>
    <w:rsid w:val="7EBC745C"/>
    <w:rsid w:val="7EBD3E3D"/>
    <w:rsid w:val="7EC05BAE"/>
    <w:rsid w:val="7EC3728F"/>
    <w:rsid w:val="7EC66B3D"/>
    <w:rsid w:val="7EC864F0"/>
    <w:rsid w:val="7ECB1C61"/>
    <w:rsid w:val="7ECB7D91"/>
    <w:rsid w:val="7ED607B0"/>
    <w:rsid w:val="7ED635B9"/>
    <w:rsid w:val="7EDC2BF5"/>
    <w:rsid w:val="7EDC798A"/>
    <w:rsid w:val="7EDF5DA5"/>
    <w:rsid w:val="7EE65D45"/>
    <w:rsid w:val="7EE709B4"/>
    <w:rsid w:val="7EE7715A"/>
    <w:rsid w:val="7EE852BA"/>
    <w:rsid w:val="7EE97D3F"/>
    <w:rsid w:val="7EEB51B8"/>
    <w:rsid w:val="7EEC5D14"/>
    <w:rsid w:val="7EEE6CD3"/>
    <w:rsid w:val="7EEE6F19"/>
    <w:rsid w:val="7EF00826"/>
    <w:rsid w:val="7EF5214B"/>
    <w:rsid w:val="7EF52665"/>
    <w:rsid w:val="7EF62FC9"/>
    <w:rsid w:val="7EF65FCF"/>
    <w:rsid w:val="7EF85D20"/>
    <w:rsid w:val="7EF85F79"/>
    <w:rsid w:val="7EF8625E"/>
    <w:rsid w:val="7EFD1D1A"/>
    <w:rsid w:val="7EFE1F69"/>
    <w:rsid w:val="7EFE3E36"/>
    <w:rsid w:val="7EFF3566"/>
    <w:rsid w:val="7EFF6045"/>
    <w:rsid w:val="7F0402E5"/>
    <w:rsid w:val="7F051766"/>
    <w:rsid w:val="7F06684F"/>
    <w:rsid w:val="7F08396A"/>
    <w:rsid w:val="7F0C2CD6"/>
    <w:rsid w:val="7F0D066C"/>
    <w:rsid w:val="7F13293F"/>
    <w:rsid w:val="7F133153"/>
    <w:rsid w:val="7F141463"/>
    <w:rsid w:val="7F1616AD"/>
    <w:rsid w:val="7F197035"/>
    <w:rsid w:val="7F1A6A6B"/>
    <w:rsid w:val="7F1B5772"/>
    <w:rsid w:val="7F2117FF"/>
    <w:rsid w:val="7F23709C"/>
    <w:rsid w:val="7F2379B2"/>
    <w:rsid w:val="7F2545BB"/>
    <w:rsid w:val="7F2736E9"/>
    <w:rsid w:val="7F2C21E4"/>
    <w:rsid w:val="7F2F28FB"/>
    <w:rsid w:val="7F2F55CE"/>
    <w:rsid w:val="7F3274B8"/>
    <w:rsid w:val="7F337962"/>
    <w:rsid w:val="7F343496"/>
    <w:rsid w:val="7F3B2793"/>
    <w:rsid w:val="7F3D4DE3"/>
    <w:rsid w:val="7F3D6CD0"/>
    <w:rsid w:val="7F411992"/>
    <w:rsid w:val="7F4535B0"/>
    <w:rsid w:val="7F463205"/>
    <w:rsid w:val="7F46640E"/>
    <w:rsid w:val="7F467994"/>
    <w:rsid w:val="7F476BF1"/>
    <w:rsid w:val="7F4979A1"/>
    <w:rsid w:val="7F4D7CC9"/>
    <w:rsid w:val="7F515FF1"/>
    <w:rsid w:val="7F5210A7"/>
    <w:rsid w:val="7F574FE3"/>
    <w:rsid w:val="7F597C83"/>
    <w:rsid w:val="7F5F2748"/>
    <w:rsid w:val="7F5F2E2D"/>
    <w:rsid w:val="7F602085"/>
    <w:rsid w:val="7F6151AB"/>
    <w:rsid w:val="7F64163C"/>
    <w:rsid w:val="7F674A69"/>
    <w:rsid w:val="7F6A3B81"/>
    <w:rsid w:val="7F6D36CE"/>
    <w:rsid w:val="7F6D781E"/>
    <w:rsid w:val="7F7519C8"/>
    <w:rsid w:val="7F754F78"/>
    <w:rsid w:val="7F774C23"/>
    <w:rsid w:val="7F785309"/>
    <w:rsid w:val="7F83430A"/>
    <w:rsid w:val="7F8423D4"/>
    <w:rsid w:val="7F846B62"/>
    <w:rsid w:val="7F862052"/>
    <w:rsid w:val="7F8D62D8"/>
    <w:rsid w:val="7F8D7A3E"/>
    <w:rsid w:val="7F900BA7"/>
    <w:rsid w:val="7F9058EB"/>
    <w:rsid w:val="7F915C70"/>
    <w:rsid w:val="7F926A68"/>
    <w:rsid w:val="7F953604"/>
    <w:rsid w:val="7F9574D6"/>
    <w:rsid w:val="7F9634C7"/>
    <w:rsid w:val="7F9758FA"/>
    <w:rsid w:val="7F9D5576"/>
    <w:rsid w:val="7F9D573E"/>
    <w:rsid w:val="7F9E060E"/>
    <w:rsid w:val="7FA07E74"/>
    <w:rsid w:val="7FA54D26"/>
    <w:rsid w:val="7FAB4712"/>
    <w:rsid w:val="7FAC144B"/>
    <w:rsid w:val="7FAF3271"/>
    <w:rsid w:val="7FAF4206"/>
    <w:rsid w:val="7FB0037D"/>
    <w:rsid w:val="7FB76FD6"/>
    <w:rsid w:val="7FB85820"/>
    <w:rsid w:val="7FBB5E67"/>
    <w:rsid w:val="7FBC124F"/>
    <w:rsid w:val="7FBE0665"/>
    <w:rsid w:val="7FC05B91"/>
    <w:rsid w:val="7FC11033"/>
    <w:rsid w:val="7FC41848"/>
    <w:rsid w:val="7FC75F9E"/>
    <w:rsid w:val="7FCB68F7"/>
    <w:rsid w:val="7FCE4854"/>
    <w:rsid w:val="7FCF3D1C"/>
    <w:rsid w:val="7FCF3F96"/>
    <w:rsid w:val="7FD3261D"/>
    <w:rsid w:val="7FDC4F6F"/>
    <w:rsid w:val="7FDE25B0"/>
    <w:rsid w:val="7FDE4000"/>
    <w:rsid w:val="7FE229D8"/>
    <w:rsid w:val="7FE97557"/>
    <w:rsid w:val="7FEB7E50"/>
    <w:rsid w:val="7FEC0858"/>
    <w:rsid w:val="7FEC4A06"/>
    <w:rsid w:val="7FED0E4C"/>
    <w:rsid w:val="7FEE1C1C"/>
    <w:rsid w:val="7FF02AAB"/>
    <w:rsid w:val="7FF7637C"/>
    <w:rsid w:val="7FF76682"/>
    <w:rsid w:val="7FFB55D2"/>
    <w:rsid w:val="7FFC7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560" w:firstLineChars="200"/>
    </w:pPr>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ind w:firstLine="0" w:firstLineChars="0"/>
      <w:outlineLvl w:val="0"/>
    </w:pPr>
    <w:rPr>
      <w:bCs/>
      <w:kern w:val="44"/>
      <w:szCs w:val="32"/>
    </w:rPr>
  </w:style>
  <w:style w:type="paragraph" w:styleId="4">
    <w:name w:val="heading 2"/>
    <w:basedOn w:val="3"/>
    <w:next w:val="5"/>
    <w:unhideWhenUsed/>
    <w:qFormat/>
    <w:uiPriority w:val="0"/>
    <w:pPr>
      <w:outlineLvl w:val="1"/>
    </w:pPr>
    <w:rPr>
      <w:sz w:val="28"/>
      <w:szCs w:val="28"/>
    </w:rPr>
  </w:style>
  <w:style w:type="paragraph" w:styleId="5">
    <w:name w:val="heading 3"/>
    <w:basedOn w:val="1"/>
    <w:next w:val="1"/>
    <w:qFormat/>
    <w:uiPriority w:val="0"/>
    <w:pPr>
      <w:keepNext/>
      <w:keepLines/>
      <w:ind w:firstLine="0" w:firstLineChars="0"/>
      <w:outlineLvl w:val="2"/>
    </w:pPr>
    <w:rPr>
      <w:b/>
      <w:bCs/>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lang w:val="zh-CN" w:bidi="zh-CN"/>
    </w:rPr>
  </w:style>
  <w:style w:type="paragraph" w:styleId="7">
    <w:name w:val="Normal Indent"/>
    <w:basedOn w:val="1"/>
    <w:next w:val="8"/>
    <w:qFormat/>
    <w:uiPriority w:val="0"/>
    <w:pPr>
      <w:spacing w:line="240" w:lineRule="auto"/>
      <w:ind w:firstLine="0" w:firstLineChars="0"/>
      <w:jc w:val="center"/>
    </w:pPr>
    <w:rPr>
      <w:sz w:val="21"/>
      <w:szCs w:val="21"/>
    </w:rPr>
  </w:style>
  <w:style w:type="paragraph" w:styleId="8">
    <w:name w:val="toc 1"/>
    <w:basedOn w:val="1"/>
    <w:next w:val="1"/>
    <w:qFormat/>
    <w:uiPriority w:val="39"/>
    <w:pPr>
      <w:tabs>
        <w:tab w:val="right" w:leader="dot" w:pos="8720"/>
      </w:tabs>
      <w:spacing w:beforeLines="50" w:afterLines="50" w:line="360" w:lineRule="exact"/>
    </w:pPr>
    <w:rPr>
      <w:b/>
      <w:sz w:val="21"/>
      <w:szCs w:val="21"/>
    </w:rPr>
  </w:style>
  <w:style w:type="paragraph" w:styleId="9">
    <w:name w:val="List Bullet"/>
    <w:basedOn w:val="1"/>
    <w:qFormat/>
    <w:uiPriority w:val="0"/>
    <w:pPr>
      <w:numPr>
        <w:ilvl w:val="0"/>
        <w:numId w:val="1"/>
      </w:numPr>
    </w:pPr>
  </w:style>
  <w:style w:type="paragraph" w:styleId="10">
    <w:name w:val="annotation text"/>
    <w:basedOn w:val="1"/>
    <w:qFormat/>
    <w:uiPriority w:val="99"/>
  </w:style>
  <w:style w:type="paragraph" w:styleId="11">
    <w:name w:val="Body Text Indent"/>
    <w:basedOn w:val="1"/>
    <w:link w:val="57"/>
    <w:qFormat/>
    <w:uiPriority w:val="0"/>
    <w:pPr>
      <w:spacing w:line="320" w:lineRule="exact"/>
      <w:ind w:left="19" w:firstLine="420" w:firstLineChars="175"/>
    </w:pPr>
    <w:rPr>
      <w:rFonts w:ascii="宋体" w:hAnsi="宋体"/>
    </w:rPr>
  </w:style>
  <w:style w:type="paragraph" w:styleId="12">
    <w:name w:val="Plain Text"/>
    <w:basedOn w:val="1"/>
    <w:qFormat/>
    <w:uiPriority w:val="0"/>
    <w:rPr>
      <w:rFonts w:ascii="宋体" w:hAnsi="Courier New"/>
    </w:rPr>
  </w:style>
  <w:style w:type="paragraph" w:styleId="13">
    <w:name w:val="Body Text Indent 2"/>
    <w:basedOn w:val="1"/>
    <w:next w:val="14"/>
    <w:qFormat/>
    <w:uiPriority w:val="0"/>
    <w:rPr>
      <w:rFonts w:ascii="黑体" w:eastAsia="黑体"/>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jc w:val="center"/>
    </w:pPr>
    <w:rPr>
      <w:rFonts w:eastAsia="微软雅黑"/>
      <w:sz w:val="18"/>
      <w:szCs w:val="18"/>
    </w:rPr>
  </w:style>
  <w:style w:type="paragraph" w:styleId="17">
    <w:name w:val="List"/>
    <w:basedOn w:val="1"/>
    <w:qFormat/>
    <w:uiPriority w:val="0"/>
    <w:pPr>
      <w:spacing w:line="360" w:lineRule="exact"/>
      <w:jc w:val="center"/>
    </w:pPr>
    <w:rPr>
      <w:rFonts w:ascii="仿宋_GB2312" w:eastAsia="仿宋_GB2312"/>
    </w:rPr>
  </w:style>
  <w:style w:type="paragraph" w:styleId="18">
    <w:name w:val="Body Text 2"/>
    <w:basedOn w:val="1"/>
    <w:next w:val="1"/>
    <w:qFormat/>
    <w:uiPriority w:val="0"/>
    <w:pPr>
      <w:spacing w:after="120" w:line="480" w:lineRule="auto"/>
    </w:pPr>
  </w:style>
  <w:style w:type="paragraph" w:styleId="19">
    <w:name w:val="Normal (Web)"/>
    <w:basedOn w:val="1"/>
    <w:qFormat/>
    <w:uiPriority w:val="0"/>
    <w:pPr>
      <w:spacing w:before="100" w:beforeAutospacing="1" w:after="100" w:afterAutospacing="1"/>
    </w:pPr>
    <w:rPr>
      <w:rFonts w:ascii="宋体" w:hAnsi="宋体"/>
    </w:rPr>
  </w:style>
  <w:style w:type="paragraph" w:styleId="20">
    <w:name w:val="Title"/>
    <w:basedOn w:val="1"/>
    <w:qFormat/>
    <w:uiPriority w:val="0"/>
    <w:pPr>
      <w:spacing w:before="240" w:after="60"/>
      <w:jc w:val="center"/>
      <w:outlineLvl w:val="0"/>
    </w:pPr>
    <w:rPr>
      <w:rFonts w:ascii="Arial" w:hAnsi="Arial"/>
      <w:b/>
      <w:sz w:val="32"/>
    </w:rPr>
  </w:style>
  <w:style w:type="paragraph" w:styleId="21">
    <w:name w:val="Body Text First Indent 2"/>
    <w:basedOn w:val="1"/>
    <w:next w:val="1"/>
    <w:link w:val="58"/>
    <w:qFormat/>
    <w:uiPriority w:val="0"/>
    <w:pPr>
      <w:spacing w:after="120" w:line="240" w:lineRule="auto"/>
      <w:ind w:left="420" w:leftChars="200" w:firstLine="42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paragraph" w:customStyle="1" w:styleId="26">
    <w:name w:val="li_正文"/>
    <w:basedOn w:val="1"/>
    <w:qFormat/>
    <w:uiPriority w:val="0"/>
    <w:pPr>
      <w:tabs>
        <w:tab w:val="left" w:pos="2340"/>
        <w:tab w:val="left" w:pos="4320"/>
      </w:tabs>
      <w:ind w:firstLine="530"/>
    </w:pPr>
    <w:rPr>
      <w:sz w:val="28"/>
      <w:szCs w:val="28"/>
    </w:rPr>
  </w:style>
  <w:style w:type="paragraph" w:customStyle="1" w:styleId="27">
    <w:name w:val="表格"/>
    <w:basedOn w:val="1"/>
    <w:next w:val="1"/>
    <w:qFormat/>
    <w:uiPriority w:val="0"/>
    <w:pPr>
      <w:spacing w:line="240" w:lineRule="auto"/>
      <w:ind w:firstLine="0" w:firstLineChars="0"/>
      <w:jc w:val="center"/>
    </w:pPr>
    <w:rPr>
      <w:sz w:val="21"/>
      <w:szCs w:val="21"/>
    </w:rPr>
  </w:style>
  <w:style w:type="paragraph" w:customStyle="1" w:styleId="28">
    <w:name w:val="表头"/>
    <w:basedOn w:val="1"/>
    <w:next w:val="27"/>
    <w:qFormat/>
    <w:uiPriority w:val="0"/>
    <w:pPr>
      <w:spacing w:line="240" w:lineRule="auto"/>
      <w:ind w:firstLine="0" w:firstLineChars="0"/>
      <w:jc w:val="center"/>
    </w:pPr>
    <w:rPr>
      <w:sz w:val="21"/>
      <w:szCs w:val="21"/>
    </w:rPr>
  </w:style>
  <w:style w:type="paragraph" w:customStyle="1" w:styleId="29">
    <w:name w:val="列出段落1"/>
    <w:basedOn w:val="1"/>
    <w:qFormat/>
    <w:uiPriority w:val="0"/>
    <w:pPr>
      <w:widowControl w:val="0"/>
      <w:adjustRightInd/>
      <w:snapToGrid/>
      <w:ind w:firstLine="420"/>
      <w:jc w:val="both"/>
    </w:pPr>
    <w:rPr>
      <w:kern w:val="2"/>
      <w:sz w:val="21"/>
      <w:szCs w:val="20"/>
    </w:rPr>
  </w:style>
  <w:style w:type="paragraph" w:customStyle="1" w:styleId="30">
    <w:name w:val="简单回函地址"/>
    <w:basedOn w:val="1"/>
    <w:qFormat/>
    <w:uiPriority w:val="0"/>
  </w:style>
  <w:style w:type="paragraph" w:customStyle="1" w:styleId="31">
    <w:name w:val="霍尼韦尔"/>
    <w:basedOn w:val="1"/>
    <w:qFormat/>
    <w:uiPriority w:val="0"/>
    <w:pPr>
      <w:spacing w:line="480" w:lineRule="exact"/>
      <w:ind w:firstLine="480"/>
    </w:pPr>
    <w:rPr>
      <w:rFonts w:ascii="Calibri" w:hAnsi="Calibri" w:cs="宋体"/>
    </w:rPr>
  </w:style>
  <w:style w:type="paragraph" w:customStyle="1" w:styleId="32">
    <w:name w:val="WPSOffice手动目录 1"/>
    <w:qFormat/>
    <w:uiPriority w:val="0"/>
    <w:rPr>
      <w:rFonts w:asciiTheme="minorHAnsi" w:hAnsiTheme="minorHAnsi" w:eastAsiaTheme="minorHAnsi" w:cstheme="minorBidi"/>
      <w:lang w:val="en-US" w:eastAsia="zh-CN" w:bidi="ar-SA"/>
    </w:rPr>
  </w:style>
  <w:style w:type="paragraph" w:customStyle="1" w:styleId="33">
    <w:name w:val="Table Paragraph"/>
    <w:basedOn w:val="1"/>
    <w:qFormat/>
    <w:uiPriority w:val="1"/>
    <w:pPr>
      <w:jc w:val="center"/>
    </w:pPr>
    <w:rPr>
      <w:rFonts w:ascii="宋体" w:hAnsi="宋体" w:cs="宋体"/>
      <w:lang w:val="zh-CN" w:bidi="zh-CN"/>
    </w:rPr>
  </w:style>
  <w:style w:type="paragraph" w:styleId="34">
    <w:name w:val="List Paragraph"/>
    <w:basedOn w:val="1"/>
    <w:qFormat/>
    <w:uiPriority w:val="1"/>
    <w:pPr>
      <w:ind w:left="1319" w:hanging="601"/>
    </w:pPr>
    <w:rPr>
      <w:rFonts w:ascii="宋体" w:hAnsi="宋体" w:cs="宋体"/>
      <w:lang w:val="zh-CN" w:bidi="zh-CN"/>
    </w:rPr>
  </w:style>
  <w:style w:type="character" w:customStyle="1" w:styleId="35">
    <w:name w:val="font01"/>
    <w:basedOn w:val="24"/>
    <w:qFormat/>
    <w:uiPriority w:val="0"/>
    <w:rPr>
      <w:rFonts w:ascii="CorpoS" w:hAnsi="CorpoS" w:eastAsia="CorpoS" w:cs="CorpoS"/>
      <w:color w:val="000000"/>
      <w:sz w:val="22"/>
      <w:szCs w:val="22"/>
      <w:u w:val="none"/>
    </w:rPr>
  </w:style>
  <w:style w:type="paragraph" w:customStyle="1" w:styleId="36">
    <w:name w:val="Style57"/>
    <w:basedOn w:val="1"/>
    <w:qFormat/>
    <w:uiPriority w:val="0"/>
    <w:pPr>
      <w:spacing w:line="550" w:lineRule="exact"/>
      <w:ind w:firstLine="557"/>
    </w:pPr>
    <w:rPr>
      <w:rFonts w:ascii="宋体" w:hAnsi="Calibri"/>
    </w:rPr>
  </w:style>
  <w:style w:type="paragraph" w:customStyle="1" w:styleId="37">
    <w:name w:val="样式1"/>
    <w:basedOn w:val="1"/>
    <w:next w:val="1"/>
    <w:qFormat/>
    <w:uiPriority w:val="0"/>
    <w:pPr>
      <w:spacing w:line="240" w:lineRule="auto"/>
      <w:ind w:firstLine="0" w:firstLineChars="0"/>
      <w:jc w:val="center"/>
    </w:pPr>
    <w:rPr>
      <w:sz w:val="21"/>
    </w:rPr>
  </w:style>
  <w:style w:type="paragraph" w:customStyle="1" w:styleId="38">
    <w:name w:val="表格居中"/>
    <w:basedOn w:val="1"/>
    <w:qFormat/>
    <w:uiPriority w:val="0"/>
    <w:pPr>
      <w:jc w:val="center"/>
    </w:pPr>
  </w:style>
  <w:style w:type="paragraph" w:customStyle="1" w:styleId="39">
    <w:name w:val="A正文"/>
    <w:basedOn w:val="1"/>
    <w:qFormat/>
    <w:uiPriority w:val="0"/>
    <w:pPr>
      <w:widowControl w:val="0"/>
      <w:ind w:firstLine="200"/>
      <w:jc w:val="both"/>
    </w:pPr>
    <w:rPr>
      <w:kern w:val="2"/>
    </w:rPr>
  </w:style>
  <w:style w:type="paragraph" w:customStyle="1" w:styleId="40">
    <w:name w:val="正文2"/>
    <w:qFormat/>
    <w:uiPriority w:val="0"/>
    <w:pPr>
      <w:tabs>
        <w:tab w:val="right" w:pos="1474"/>
      </w:tabs>
      <w:spacing w:line="360" w:lineRule="auto"/>
    </w:pPr>
    <w:rPr>
      <w:rFonts w:ascii="Times New Roman" w:hAnsi="Times New Roman" w:eastAsia="宋体" w:cs="Times New Roman"/>
      <w:sz w:val="24"/>
      <w:lang w:val="en-US" w:eastAsia="zh-CN" w:bidi="ar-SA"/>
    </w:rPr>
  </w:style>
  <w:style w:type="paragraph" w:customStyle="1" w:styleId="41">
    <w:name w:val="Normal_0"/>
    <w:qFormat/>
    <w:uiPriority w:val="0"/>
    <w:rPr>
      <w:rFonts w:ascii="Times New Roman" w:hAnsi="Times New Roman" w:eastAsia="Times New Roman" w:cs="Times New Roman"/>
      <w:sz w:val="24"/>
      <w:szCs w:val="24"/>
      <w:lang w:val="en-US" w:eastAsia="zh-CN" w:bidi="ar-SA"/>
    </w:rPr>
  </w:style>
  <w:style w:type="paragraph" w:customStyle="1" w:styleId="42">
    <w:name w:val="Normal_1"/>
    <w:qFormat/>
    <w:uiPriority w:val="0"/>
    <w:rPr>
      <w:rFonts w:ascii="Times New Roman" w:hAnsi="Times New Roman" w:eastAsia="Times New Roman" w:cs="Times New Roman"/>
      <w:sz w:val="24"/>
      <w:szCs w:val="24"/>
      <w:lang w:val="en-US" w:eastAsia="zh-CN" w:bidi="ar-SA"/>
    </w:rPr>
  </w:style>
  <w:style w:type="paragraph" w:customStyle="1" w:styleId="43">
    <w:name w:val="Normal_0_0"/>
    <w:qFormat/>
    <w:uiPriority w:val="0"/>
    <w:rPr>
      <w:rFonts w:ascii="Times New Roman" w:hAnsi="Times New Roman" w:eastAsia="Times New Roman" w:cs="Times New Roman"/>
      <w:sz w:val="24"/>
      <w:szCs w:val="24"/>
      <w:lang w:val="en-US" w:eastAsia="zh-CN" w:bidi="ar-SA"/>
    </w:rPr>
  </w:style>
  <w:style w:type="paragraph" w:customStyle="1" w:styleId="44">
    <w:name w:val="Normal_0_1"/>
    <w:qFormat/>
    <w:uiPriority w:val="0"/>
    <w:rPr>
      <w:rFonts w:ascii="Times New Roman" w:hAnsi="Times New Roman" w:eastAsia="Times New Roman" w:cs="Times New Roman"/>
      <w:sz w:val="24"/>
      <w:szCs w:val="24"/>
      <w:lang w:val="en-US" w:eastAsia="zh-CN" w:bidi="ar-SA"/>
    </w:rPr>
  </w:style>
  <w:style w:type="paragraph" w:customStyle="1" w:styleId="45">
    <w:name w:val="p0"/>
    <w:basedOn w:val="1"/>
    <w:qFormat/>
    <w:uiPriority w:val="0"/>
    <w:rPr>
      <w:szCs w:val="21"/>
    </w:rPr>
  </w:style>
  <w:style w:type="paragraph" w:customStyle="1" w:styleId="46">
    <w:name w:val="引用1"/>
    <w:basedOn w:val="1"/>
    <w:next w:val="1"/>
    <w:qFormat/>
    <w:uiPriority w:val="0"/>
    <w:pPr>
      <w:spacing w:line="360" w:lineRule="exact"/>
      <w:jc w:val="center"/>
    </w:pPr>
    <w:rPr>
      <w:iCs/>
      <w:color w:val="000000"/>
      <w:szCs w:val="21"/>
    </w:rPr>
  </w:style>
  <w:style w:type="paragraph" w:customStyle="1" w:styleId="47">
    <w:name w:val="xl22"/>
    <w:basedOn w:val="1"/>
    <w:qFormat/>
    <w:uiPriority w:val="0"/>
    <w:pPr>
      <w:spacing w:before="100" w:after="100"/>
      <w:jc w:val="center"/>
    </w:pPr>
  </w:style>
  <w:style w:type="paragraph" w:customStyle="1" w:styleId="48">
    <w:name w:val="主标题"/>
    <w:basedOn w:val="1"/>
    <w:qFormat/>
    <w:uiPriority w:val="0"/>
    <w:pPr>
      <w:jc w:val="center"/>
    </w:pPr>
    <w:rPr>
      <w:rFonts w:eastAsia="仿宋_GB2312"/>
      <w:sz w:val="52"/>
    </w:rPr>
  </w:style>
  <w:style w:type="paragraph" w:customStyle="1" w:styleId="49">
    <w:name w:val="表格式"/>
    <w:basedOn w:val="1"/>
    <w:qFormat/>
    <w:uiPriority w:val="0"/>
    <w:pPr>
      <w:spacing w:line="440" w:lineRule="exact"/>
      <w:jc w:val="center"/>
      <w:textAlignment w:val="center"/>
    </w:pPr>
    <w:rPr>
      <w:rFonts w:ascii="宋体" w:hAnsi="华文中宋"/>
      <w:color w:val="000000"/>
    </w:rPr>
  </w:style>
  <w:style w:type="paragraph" w:customStyle="1" w:styleId="50">
    <w:name w:val="A标准格式"/>
    <w:basedOn w:val="1"/>
    <w:qFormat/>
    <w:uiPriority w:val="0"/>
    <w:pPr>
      <w:spacing w:line="440" w:lineRule="exact"/>
      <w:ind w:firstLine="480"/>
    </w:pPr>
    <w:rPr>
      <w:szCs w:val="22"/>
    </w:rPr>
  </w:style>
  <w:style w:type="paragraph" w:customStyle="1" w:styleId="51">
    <w:name w:val="表"/>
    <w:basedOn w:val="1"/>
    <w:qFormat/>
    <w:uiPriority w:val="0"/>
    <w:pPr>
      <w:widowControl w:val="0"/>
      <w:adjustRightInd/>
      <w:spacing w:line="240" w:lineRule="auto"/>
      <w:ind w:firstLine="0" w:firstLineChars="0"/>
      <w:jc w:val="center"/>
    </w:pPr>
    <w:rPr>
      <w:spacing w:val="2"/>
      <w:kern w:val="2"/>
      <w:sz w:val="21"/>
      <w:szCs w:val="20"/>
    </w:rPr>
  </w:style>
  <w:style w:type="paragraph" w:customStyle="1" w:styleId="52">
    <w:name w:val="Normal_21"/>
    <w:qFormat/>
    <w:uiPriority w:val="0"/>
    <w:pPr>
      <w:spacing w:before="120" w:after="240"/>
      <w:jc w:val="both"/>
    </w:pPr>
    <w:rPr>
      <w:rFonts w:ascii="Calibri" w:hAnsi="Calibri" w:eastAsia="Calibri" w:cs="Times New Roman"/>
      <w:sz w:val="22"/>
      <w:szCs w:val="22"/>
      <w:lang w:val="ru-RU" w:eastAsia="en-US" w:bidi="ar-SA"/>
    </w:rPr>
  </w:style>
  <w:style w:type="paragraph" w:customStyle="1" w:styleId="53">
    <w:name w:val="Char Char Char1 Char Char Char Char Char Char Char"/>
    <w:basedOn w:val="1"/>
    <w:qFormat/>
    <w:uiPriority w:val="0"/>
    <w:pPr>
      <w:widowControl w:val="0"/>
      <w:adjustRightInd/>
      <w:snapToGrid/>
      <w:spacing w:line="240" w:lineRule="auto"/>
      <w:ind w:firstLine="0" w:firstLineChars="0"/>
      <w:jc w:val="both"/>
    </w:pPr>
    <w:rPr>
      <w:kern w:val="2"/>
    </w:rPr>
  </w:style>
  <w:style w:type="paragraph" w:customStyle="1" w:styleId="54">
    <w:name w:val="Normal_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Char Char Char1 Char Char Char Char Char Char Char1"/>
    <w:basedOn w:val="1"/>
    <w:qFormat/>
    <w:uiPriority w:val="0"/>
    <w:pPr>
      <w:widowControl w:val="0"/>
      <w:adjustRightInd/>
      <w:snapToGrid/>
      <w:spacing w:line="240" w:lineRule="auto"/>
      <w:ind w:firstLine="0" w:firstLineChars="0"/>
      <w:jc w:val="both"/>
    </w:pPr>
    <w:rPr>
      <w:kern w:val="2"/>
    </w:rPr>
  </w:style>
  <w:style w:type="paragraph" w:customStyle="1" w:styleId="56">
    <w:name w:val="Char Char Char1 Char Char Char Char Char Char Char2"/>
    <w:basedOn w:val="1"/>
    <w:qFormat/>
    <w:uiPriority w:val="0"/>
    <w:pPr>
      <w:widowControl w:val="0"/>
      <w:adjustRightInd/>
      <w:snapToGrid/>
      <w:spacing w:line="240" w:lineRule="auto"/>
      <w:ind w:firstLine="0" w:firstLineChars="0"/>
      <w:jc w:val="both"/>
    </w:pPr>
    <w:rPr>
      <w:kern w:val="2"/>
    </w:rPr>
  </w:style>
  <w:style w:type="character" w:customStyle="1" w:styleId="57">
    <w:name w:val="正文文本缩进 字符"/>
    <w:basedOn w:val="24"/>
    <w:link w:val="11"/>
    <w:qFormat/>
    <w:uiPriority w:val="0"/>
    <w:rPr>
      <w:kern w:val="2"/>
      <w:sz w:val="21"/>
      <w:szCs w:val="24"/>
    </w:rPr>
  </w:style>
  <w:style w:type="character" w:customStyle="1" w:styleId="58">
    <w:name w:val="正文首行缩进 2 字符"/>
    <w:basedOn w:val="57"/>
    <w:link w:val="21"/>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jpe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B9A4A6-6DF0-4411-BF8F-BF0E5AE2DC2B}">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Pages>
  <Words>3190</Words>
  <Characters>18189</Characters>
  <Lines>151</Lines>
  <Paragraphs>42</Paragraphs>
  <TotalTime>1</TotalTime>
  <ScaleCrop>false</ScaleCrop>
  <LinksUpToDate>false</LinksUpToDate>
  <CharactersWithSpaces>21337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2021-08-31T00:25:00Z</dcterms:created>
  <dc:creator>Administrator</dc:creator>
  <cp:lastModifiedBy>老黄</cp:lastModifiedBy>
  <dcterms:modified xsi:type="dcterms:W3CDTF">2021-09-23T01:45:36Z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